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236AFD47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B6AB1" w:rsidRP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Šveices ielā 19, Siguldā, Siguldas novadā, ēkas ar kadastra apzīmējumu 8015 002 4010 001 (mākslu skola) telpas Nr. 2 un Nr. 62 daļu</w:t>
      </w:r>
      <w:r w:rsidR="009B6AB1" w:rsidRPr="00B50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6AB1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nomas tiesību 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>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B81748A" w14:textId="2DEEAA1E" w:rsidR="009B6AB1" w:rsidRPr="009B6AB1" w:rsidRDefault="000A399F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9B6AB1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="0066589B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9B6AB1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9B6AB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9B6A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B6A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9B6AB1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9B6AB1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9B6AB1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9B6AB1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9B6AB1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9B6AB1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9B6A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9B6A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9B6A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9B6AB1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9B6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B6AB1" w:rsidRPr="009B6A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9B6AB1" w:rsidRP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nekustamā īpašuma</w:t>
      </w:r>
      <w:r w:rsidR="009B6AB1" w:rsidRPr="009B6AB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B6AB1" w:rsidRPr="009B6A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Šveices ielā 19, Siguldā, Siguldas novadā, ēkas ar kadastra apzīmējumu 8015 002 4010 001 (mākslu skola) telpas Nr. 2 un Nr. 62  </w:t>
      </w:r>
      <w:r w:rsidR="009B6AB1" w:rsidRPr="009B6AB1">
        <w:rPr>
          <w:rFonts w:ascii="Times New Roman" w:eastAsia="Times New Roman" w:hAnsi="Times New Roman" w:cs="Times New Roman"/>
          <w:sz w:val="24"/>
          <w:szCs w:val="24"/>
          <w:lang w:eastAsia="lv-LV"/>
        </w:rPr>
        <w:t>daļu</w:t>
      </w:r>
      <w:r w:rsidR="009B6AB1" w:rsidRPr="009B6AB1">
        <w:rPr>
          <w:rFonts w:ascii="Times New Roman" w:eastAsia="Calibri" w:hAnsi="Times New Roman" w:cs="Times New Roman"/>
          <w:sz w:val="24"/>
          <w:szCs w:val="24"/>
        </w:rPr>
        <w:t xml:space="preserve">, karsto dzērienu, kā arī uzkodu automātu izvietošanai. </w:t>
      </w:r>
    </w:p>
    <w:p w14:paraId="4535CB22" w14:textId="21D75D60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Sākotnējā nomas maksa mēnesī </w:t>
      </w:r>
      <w:r w:rsidRPr="00E075A3">
        <w:rPr>
          <w:rFonts w:ascii="Times New Roman" w:eastAsia="Calibri" w:hAnsi="Times New Roman" w:cs="Times New Roman"/>
          <w:b/>
          <w:bCs/>
          <w:sz w:val="24"/>
          <w:szCs w:val="24"/>
        </w:rPr>
        <w:t>100,00 EUR</w:t>
      </w:r>
      <w:r w:rsidRPr="0078648D">
        <w:rPr>
          <w:rFonts w:ascii="Times New Roman" w:eastAsia="Calibri" w:hAnsi="Times New Roman" w:cs="Times New Roman"/>
          <w:sz w:val="24"/>
          <w:szCs w:val="24"/>
        </w:rPr>
        <w:t xml:space="preserve"> (viens simts </w:t>
      </w:r>
      <w:proofErr w:type="spellStart"/>
      <w:r w:rsidRPr="0078648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8648D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03C5F2" w14:textId="61FA4652" w:rsidR="00E075A3" w:rsidRPr="00F07F9E" w:rsidRDefault="001A5A9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74555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29931067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Jolanta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Bimbere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Siguldas mākslu skolas “Baltais flīģelis” direktore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1BCDA337" w14:textId="77777777" w:rsidR="00E075A3" w:rsidRDefault="00E075A3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3BEF23AF" w:rsidR="00E075A3" w:rsidRDefault="00E075A3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Pirms piedāvājuma iesniegšanas jāiemaksā dalības maksa 10 EUR (desmit </w:t>
      </w:r>
      <w:r w:rsidRPr="00F065F7">
        <w:rPr>
          <w:rFonts w:ascii="Times New Roman" w:eastAsia="Calibri" w:hAnsi="Times New Roman" w:cs="Times New Roman"/>
          <w:i/>
          <w:noProof/>
          <w:sz w:val="24"/>
          <w:szCs w:val="24"/>
        </w:rPr>
        <w:t>euro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>) apmērā, tajā skaitā PVN 21% ieskaitot to Pašvaldības bankas kontā LV15UNLA0027800130404, kas atvērts AS „SEB banka”, kods UNLALV2X, ar atzīmi “Par dalību nekustamā īpašuma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Šveices ielā 19, Siguldā, Siguldas novadā, telpas Nr.2 un Nr.62 daļu nomas tiesību izsolē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un nodrošinājums 30 EUR (trīsdesmit </w:t>
      </w:r>
      <w:r w:rsidRPr="00F065F7">
        <w:rPr>
          <w:rFonts w:ascii="Times New Roman" w:eastAsia="Calibri" w:hAnsi="Times New Roman" w:cs="Times New Roman"/>
          <w:i/>
          <w:noProof/>
          <w:sz w:val="24"/>
          <w:szCs w:val="24"/>
        </w:rPr>
        <w:t>euro</w:t>
      </w:r>
      <w:r w:rsidRPr="00F065F7">
        <w:rPr>
          <w:rFonts w:ascii="Times New Roman" w:eastAsia="Calibri" w:hAnsi="Times New Roman" w:cs="Times New Roman"/>
          <w:noProof/>
          <w:sz w:val="24"/>
          <w:szCs w:val="24"/>
        </w:rPr>
        <w:t xml:space="preserve">) apmērā, ieskaitot to Siguldas novada pašvaldības kontā LV35UNLA0050021519671, kas atvērts AS “SEB banka”, kods UNLALV2X ar atzīmi “Nodrošinājums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par nekustamā īpašuma Šveices ielā 19, Siguldā, Siguldas novadā, telpas Nr.2 un Nr.62 daļu nomas tiesību izsolē” .</w:t>
      </w:r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2AE32E25" w14:textId="0F142EEE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Šveices iela 19</w:t>
      </w:r>
      <w:r w:rsidRPr="00F978DE">
        <w:rPr>
          <w:rFonts w:ascii="Times New Roman" w:eastAsia="Calibri" w:hAnsi="Times New Roman" w:cs="Times New Roman"/>
          <w:sz w:val="24"/>
          <w:szCs w:val="24"/>
        </w:rPr>
        <w:t>, Siguld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>, Siguldas novad</w:t>
      </w:r>
      <w:r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LV-2150</w:t>
      </w:r>
    </w:p>
    <w:p w14:paraId="686E1270" w14:textId="04CA6A31" w:rsidR="00E075A3" w:rsidRPr="002360AB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Pr="0078648D">
        <w:rPr>
          <w:rFonts w:ascii="Times New Roman" w:hAnsi="Times New Roman"/>
          <w:sz w:val="24"/>
          <w:szCs w:val="24"/>
        </w:rPr>
        <w:t xml:space="preserve">8015 002 </w:t>
      </w:r>
      <w:r>
        <w:rPr>
          <w:rFonts w:ascii="Times New Roman" w:hAnsi="Times New Roman"/>
          <w:sz w:val="24"/>
          <w:szCs w:val="24"/>
        </w:rPr>
        <w:t>4010 001</w:t>
      </w:r>
    </w:p>
    <w:p w14:paraId="61C63A16" w14:textId="557E337B" w:rsidR="00E075A3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karsto dzērienu, kā arī uzkodu automātu izvietošanai</w:t>
      </w:r>
      <w:r w:rsidRPr="001270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29649875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MS Mincho" w:hAnsi="Times New Roman" w:cs="Times New Roman"/>
          <w:sz w:val="24"/>
          <w:szCs w:val="24"/>
        </w:rPr>
        <w:t xml:space="preserve">telpas Nr.2 un Nr.62 daļu 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2255512" w:rsidR="00E075A3" w:rsidRDefault="001A5A9D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Pr="00B45BCB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jolanta.bimbere@sigulda.lv</w:t>
        </w:r>
      </w:hyperlink>
      <w:r w:rsidR="00E075A3"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79B88E6" w14:textId="77777777" w:rsidR="00A50C29" w:rsidRPr="00A50C29" w:rsidRDefault="00A50C29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5A9D"/>
    <w:rsid w:val="001A7857"/>
    <w:rsid w:val="001C1517"/>
    <w:rsid w:val="001D2815"/>
    <w:rsid w:val="0022430D"/>
    <w:rsid w:val="002360AB"/>
    <w:rsid w:val="00280F73"/>
    <w:rsid w:val="002C489A"/>
    <w:rsid w:val="002C49EE"/>
    <w:rsid w:val="002D75F2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539CC"/>
    <w:rsid w:val="0066528A"/>
    <w:rsid w:val="0066589B"/>
    <w:rsid w:val="006C5FE8"/>
    <w:rsid w:val="006E11F9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E0483"/>
    <w:rsid w:val="009103CC"/>
    <w:rsid w:val="00932A4D"/>
    <w:rsid w:val="00937FB4"/>
    <w:rsid w:val="00972E9F"/>
    <w:rsid w:val="009740F5"/>
    <w:rsid w:val="009A0135"/>
    <w:rsid w:val="009A3685"/>
    <w:rsid w:val="009B1822"/>
    <w:rsid w:val="009B6AB1"/>
    <w:rsid w:val="009C4DB7"/>
    <w:rsid w:val="00A213F8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nta.bimber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2023-09-04T07:03:00Z</dcterms:created>
  <dcterms:modified xsi:type="dcterms:W3CDTF">2023-09-04T07:03:00Z</dcterms:modified>
</cp:coreProperties>
</file>