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C2569" w14:textId="77777777" w:rsidR="00E762B0" w:rsidRPr="00E762B0" w:rsidRDefault="00E762B0" w:rsidP="00E762B0">
      <w:pPr>
        <w:keepNext/>
        <w:keepLines/>
        <w:spacing w:after="0" w:line="240" w:lineRule="auto"/>
        <w:jc w:val="right"/>
        <w:rPr>
          <w:rFonts w:ascii="Times New Roman" w:eastAsia="Calibri" w:hAnsi="Times New Roman" w:cs="Times New Roman"/>
          <w:sz w:val="20"/>
          <w:szCs w:val="20"/>
          <w:lang w:bidi="lv-LV"/>
        </w:rPr>
      </w:pPr>
      <w:r w:rsidRPr="00E762B0">
        <w:rPr>
          <w:rFonts w:ascii="Times New Roman" w:eastAsia="Calibri" w:hAnsi="Times New Roman" w:cs="Times New Roman"/>
          <w:sz w:val="20"/>
          <w:szCs w:val="20"/>
          <w:lang w:bidi="lv-LV"/>
        </w:rPr>
        <w:t>2.pielikums</w:t>
      </w:r>
    </w:p>
    <w:p w14:paraId="54740AA7" w14:textId="77777777" w:rsidR="00E762B0" w:rsidRPr="00E762B0" w:rsidRDefault="00E762B0" w:rsidP="00E762B0">
      <w:pPr>
        <w:tabs>
          <w:tab w:val="left" w:pos="5880"/>
        </w:tabs>
        <w:suppressAutoHyphens/>
        <w:spacing w:after="0" w:line="240" w:lineRule="auto"/>
        <w:jc w:val="right"/>
        <w:rPr>
          <w:rFonts w:ascii="Times New Roman" w:eastAsia="Times New Roman" w:hAnsi="Times New Roman" w:cs="Times New Roman"/>
          <w:bCs/>
          <w:sz w:val="18"/>
          <w:szCs w:val="18"/>
        </w:rPr>
      </w:pPr>
      <w:r w:rsidRPr="00E762B0">
        <w:rPr>
          <w:rFonts w:ascii="Times New Roman" w:eastAsia="Times New Roman" w:hAnsi="Times New Roman" w:cs="Times New Roman"/>
          <w:sz w:val="18"/>
          <w:szCs w:val="18"/>
        </w:rPr>
        <w:t xml:space="preserve">iepirkuma </w:t>
      </w:r>
      <w:r w:rsidRPr="00E762B0">
        <w:rPr>
          <w:rFonts w:ascii="Times New Roman" w:eastAsia="Times New Roman" w:hAnsi="Times New Roman" w:cs="Times New Roman"/>
          <w:sz w:val="20"/>
          <w:szCs w:val="20"/>
        </w:rPr>
        <w:t>“</w:t>
      </w:r>
      <w:r w:rsidRPr="00E762B0">
        <w:rPr>
          <w:rFonts w:ascii="Times New Roman" w:eastAsia="Times New Roman" w:hAnsi="Times New Roman" w:cs="Times New Roman"/>
          <w:bCs/>
          <w:sz w:val="18"/>
          <w:szCs w:val="18"/>
        </w:rPr>
        <w:t>Siguldas novada pašvaldības administrācijas un  iestāžu</w:t>
      </w:r>
    </w:p>
    <w:p w14:paraId="02C99CE3" w14:textId="48C20B9F" w:rsidR="00E762B0" w:rsidRPr="00E762B0" w:rsidRDefault="00E762B0" w:rsidP="00E762B0">
      <w:pPr>
        <w:tabs>
          <w:tab w:val="left" w:pos="5880"/>
        </w:tabs>
        <w:suppressAutoHyphens/>
        <w:spacing w:after="0" w:line="240" w:lineRule="auto"/>
        <w:jc w:val="right"/>
        <w:rPr>
          <w:rFonts w:ascii="Times New Roman" w:eastAsia="Times New Roman" w:hAnsi="Times New Roman" w:cs="Times New Roman"/>
          <w:sz w:val="18"/>
          <w:szCs w:val="18"/>
        </w:rPr>
      </w:pPr>
      <w:r w:rsidRPr="00E762B0">
        <w:rPr>
          <w:rFonts w:ascii="Times New Roman" w:eastAsia="Times New Roman" w:hAnsi="Times New Roman" w:cs="Times New Roman"/>
          <w:bCs/>
          <w:sz w:val="18"/>
          <w:szCs w:val="18"/>
        </w:rPr>
        <w:t xml:space="preserve"> elektroierīču tehniskā apkalpošana un remont</w:t>
      </w:r>
      <w:bookmarkStart w:id="0" w:name="_GoBack"/>
      <w:bookmarkEnd w:id="0"/>
      <w:r w:rsidRPr="00E762B0">
        <w:rPr>
          <w:rFonts w:ascii="Times New Roman" w:eastAsia="Times New Roman" w:hAnsi="Times New Roman" w:cs="Times New Roman"/>
          <w:bCs/>
          <w:sz w:val="18"/>
          <w:szCs w:val="18"/>
        </w:rPr>
        <w:t>darbi</w:t>
      </w:r>
      <w:r w:rsidRPr="00E762B0">
        <w:rPr>
          <w:rFonts w:ascii="Times New Roman" w:eastAsia="Times New Roman" w:hAnsi="Times New Roman" w:cs="Times New Roman"/>
          <w:sz w:val="20"/>
          <w:szCs w:val="20"/>
        </w:rPr>
        <w:t>”</w:t>
      </w:r>
      <w:r w:rsidRPr="00E762B0">
        <w:rPr>
          <w:rFonts w:ascii="Times New Roman" w:eastAsia="Times New Roman" w:hAnsi="Times New Roman" w:cs="Times New Roman"/>
          <w:sz w:val="18"/>
          <w:szCs w:val="18"/>
        </w:rPr>
        <w:t>,</w:t>
      </w:r>
    </w:p>
    <w:p w14:paraId="0B945961" w14:textId="77777777" w:rsidR="00E762B0" w:rsidRPr="00E762B0" w:rsidRDefault="00E762B0" w:rsidP="00E762B0">
      <w:pPr>
        <w:tabs>
          <w:tab w:val="left" w:pos="5880"/>
        </w:tabs>
        <w:suppressAutoHyphens/>
        <w:spacing w:after="0" w:line="240" w:lineRule="auto"/>
        <w:jc w:val="right"/>
        <w:rPr>
          <w:rFonts w:ascii="Times New Roman" w:eastAsia="Times New Roman" w:hAnsi="Times New Roman" w:cs="Times New Roman"/>
          <w:sz w:val="18"/>
          <w:szCs w:val="18"/>
        </w:rPr>
      </w:pPr>
      <w:r w:rsidRPr="00E762B0">
        <w:rPr>
          <w:rFonts w:ascii="Times New Roman" w:eastAsia="Times New Roman" w:hAnsi="Times New Roman" w:cs="Times New Roman"/>
          <w:sz w:val="18"/>
          <w:szCs w:val="18"/>
        </w:rPr>
        <w:t xml:space="preserve"> identifikācijas nr. </w:t>
      </w:r>
      <w:r w:rsidRPr="00E762B0">
        <w:rPr>
          <w:rFonts w:ascii="Times New Roman" w:eastAsia="Times New Roman" w:hAnsi="Times New Roman" w:cs="Times New Roman"/>
          <w:b/>
          <w:sz w:val="18"/>
          <w:szCs w:val="18"/>
        </w:rPr>
        <w:t>SNP 2019/01/AK</w:t>
      </w:r>
    </w:p>
    <w:p w14:paraId="55359875" w14:textId="77777777" w:rsidR="00E762B0" w:rsidRPr="00E762B0" w:rsidRDefault="00E762B0" w:rsidP="00E762B0">
      <w:pPr>
        <w:tabs>
          <w:tab w:val="left" w:pos="5880"/>
        </w:tabs>
        <w:suppressAutoHyphens/>
        <w:spacing w:after="0" w:line="240" w:lineRule="auto"/>
        <w:jc w:val="right"/>
        <w:rPr>
          <w:rFonts w:ascii="Times New Roman" w:eastAsia="Times New Roman" w:hAnsi="Times New Roman" w:cs="Times New Roman"/>
          <w:sz w:val="18"/>
          <w:szCs w:val="18"/>
        </w:rPr>
      </w:pPr>
      <w:r w:rsidRPr="00E762B0">
        <w:rPr>
          <w:rFonts w:ascii="Times New Roman" w:eastAsia="Times New Roman" w:hAnsi="Times New Roman" w:cs="Times New Roman"/>
          <w:sz w:val="18"/>
          <w:szCs w:val="18"/>
          <w:shd w:val="clear" w:color="auto" w:fill="FFFFFF"/>
        </w:rPr>
        <w:t xml:space="preserve"> </w:t>
      </w:r>
      <w:r w:rsidRPr="00E762B0">
        <w:rPr>
          <w:rFonts w:ascii="Times New Roman" w:eastAsia="Times New Roman" w:hAnsi="Times New Roman" w:cs="Times New Roman"/>
          <w:sz w:val="18"/>
          <w:szCs w:val="18"/>
        </w:rPr>
        <w:t>nolikumam</w:t>
      </w:r>
    </w:p>
    <w:p w14:paraId="0426B683" w14:textId="77777777" w:rsidR="00E762B0" w:rsidRPr="00E762B0" w:rsidRDefault="00E762B0" w:rsidP="00E762B0">
      <w:pPr>
        <w:suppressAutoHyphens/>
        <w:spacing w:after="0" w:line="240" w:lineRule="auto"/>
        <w:jc w:val="right"/>
        <w:rPr>
          <w:rFonts w:ascii="Arial" w:eastAsia="Times New Roman" w:hAnsi="Arial" w:cs="Arial"/>
          <w:szCs w:val="24"/>
          <w:lang w:eastAsia="zh-CN"/>
        </w:rPr>
      </w:pPr>
    </w:p>
    <w:p w14:paraId="5C346700" w14:textId="77777777" w:rsidR="00E762B0" w:rsidRPr="00E762B0" w:rsidRDefault="00E762B0" w:rsidP="00E762B0">
      <w:pPr>
        <w:suppressAutoHyphens/>
        <w:spacing w:after="0" w:line="240" w:lineRule="auto"/>
        <w:ind w:left="720"/>
        <w:jc w:val="center"/>
        <w:rPr>
          <w:rFonts w:ascii="Times New Roman" w:eastAsia="Times New Roman" w:hAnsi="Times New Roman" w:cs="Times New Roman"/>
          <w:b/>
          <w:sz w:val="28"/>
          <w:szCs w:val="28"/>
          <w:lang w:eastAsia="zh-CN"/>
        </w:rPr>
      </w:pPr>
      <w:r w:rsidRPr="00E762B0">
        <w:rPr>
          <w:rFonts w:ascii="Times New Roman" w:eastAsia="Times New Roman" w:hAnsi="Times New Roman" w:cs="Times New Roman"/>
          <w:b/>
          <w:sz w:val="28"/>
          <w:szCs w:val="28"/>
          <w:lang w:eastAsia="zh-CN"/>
        </w:rPr>
        <w:t>DARBA UZDEVUMS</w:t>
      </w:r>
    </w:p>
    <w:p w14:paraId="616059AB" w14:textId="77777777" w:rsidR="00E762B0" w:rsidRPr="00E762B0" w:rsidRDefault="00E762B0" w:rsidP="00E762B0">
      <w:pPr>
        <w:suppressAutoHyphens/>
        <w:spacing w:after="0" w:line="240" w:lineRule="auto"/>
        <w:ind w:left="720"/>
        <w:jc w:val="center"/>
        <w:rPr>
          <w:rFonts w:ascii="Times New Roman" w:eastAsia="Times New Roman" w:hAnsi="Times New Roman" w:cs="Times New Roman"/>
          <w:b/>
          <w:sz w:val="28"/>
          <w:szCs w:val="28"/>
          <w:lang w:eastAsia="zh-CN"/>
        </w:rPr>
      </w:pPr>
    </w:p>
    <w:p w14:paraId="485CD9D3" w14:textId="77777777" w:rsidR="00E762B0" w:rsidRPr="00E762B0" w:rsidRDefault="00E762B0" w:rsidP="00E762B0">
      <w:pPr>
        <w:tabs>
          <w:tab w:val="left" w:pos="1800"/>
        </w:tabs>
        <w:suppressAutoHyphens/>
        <w:spacing w:after="0" w:line="240" w:lineRule="auto"/>
        <w:ind w:left="270"/>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b/>
          <w:i/>
          <w:sz w:val="24"/>
          <w:szCs w:val="24"/>
          <w:u w:val="single"/>
          <w:lang w:eastAsia="zh-CN"/>
        </w:rPr>
        <w:t>Iepirkuma mērķis</w:t>
      </w:r>
      <w:r w:rsidRPr="00E762B0">
        <w:rPr>
          <w:rFonts w:ascii="Times New Roman" w:eastAsia="Times New Roman" w:hAnsi="Times New Roman" w:cs="Times New Roman"/>
          <w:sz w:val="24"/>
          <w:szCs w:val="24"/>
          <w:lang w:eastAsia="zh-CN"/>
        </w:rPr>
        <w:t xml:space="preserve">: </w:t>
      </w:r>
    </w:p>
    <w:p w14:paraId="2D1D524A" w14:textId="77777777" w:rsidR="00E762B0" w:rsidRPr="00E762B0" w:rsidRDefault="00E762B0" w:rsidP="00E762B0">
      <w:pPr>
        <w:tabs>
          <w:tab w:val="left" w:pos="1800"/>
        </w:tabs>
        <w:suppressAutoHyphens/>
        <w:spacing w:after="0" w:line="240"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Nodrošināt Siguldas novada pašvaldības īpašumā esošās administrācijas un iestāžu ēku apgaismojuma, elektroiekārtu un ēku elektrosistēmas drošu un ekonomisku ekspluatāciju, kā arī remontdarbus. </w:t>
      </w:r>
    </w:p>
    <w:p w14:paraId="58EAA42B" w14:textId="77777777" w:rsidR="00E762B0" w:rsidRPr="00E762B0" w:rsidRDefault="00E762B0" w:rsidP="00E762B0">
      <w:pPr>
        <w:suppressAutoHyphens/>
        <w:spacing w:after="0" w:line="240" w:lineRule="auto"/>
        <w:rPr>
          <w:rFonts w:ascii="Times New Roman" w:eastAsia="Times New Roman" w:hAnsi="Times New Roman" w:cs="Times New Roman"/>
          <w:b/>
          <w:sz w:val="24"/>
          <w:szCs w:val="24"/>
          <w:u w:val="single"/>
          <w:lang w:eastAsia="zh-CN"/>
        </w:rPr>
      </w:pPr>
    </w:p>
    <w:p w14:paraId="3CA8E3CE" w14:textId="77777777" w:rsidR="00E762B0" w:rsidRPr="00E762B0" w:rsidRDefault="00E762B0" w:rsidP="00E762B0">
      <w:pPr>
        <w:numPr>
          <w:ilvl w:val="0"/>
          <w:numId w:val="1"/>
        </w:numPr>
        <w:suppressAutoHyphens/>
        <w:spacing w:after="0" w:line="276" w:lineRule="auto"/>
        <w:ind w:left="180"/>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Darbus jāveic saskaņā ar Ministru kabineta 2014.gada 25.marta noteikumiem Nr. 156 „Būvizstrādājumu tirgus uzraudzības kārtība”, Ministru kabineta 2016.gada 12.aprīļa noteikumiem Nr. 209 „Iekārtu elektrodrošības noteikumi” un citiem normatīvajiem aktiem. </w:t>
      </w:r>
    </w:p>
    <w:p w14:paraId="36383C0A"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Aprīkojuma piedāvājumā ievērot Ministru kabineta 2017.gada 20. jūnija noteikumu Nr. 353 “Prasības zaļajam publiskajam iepirkumam un to piemērošanas kārtība” 1.pielikuma punktu 6.1. zaļā publiskā iepirkuma prasības un kritēriji iekštelpu apgaismojuma aprīkojumam un </w:t>
      </w:r>
      <w:r w:rsidRPr="00E762B0">
        <w:rPr>
          <w:rFonts w:ascii="Times New Roman" w:eastAsia="Times New Roman" w:hAnsi="Times New Roman" w:cs="Times New Roman"/>
          <w:iCs/>
          <w:sz w:val="24"/>
          <w:szCs w:val="24"/>
          <w:lang w:eastAsia="zh-CN"/>
        </w:rPr>
        <w:t>Direktīvas  2002/95/EK  par   dažu   bīstamo   vielu   izmantošanas  ierobežošanu  elektriskajās  un  elektroniskajās  ierīcēs (</w:t>
      </w:r>
      <w:proofErr w:type="spellStart"/>
      <w:r w:rsidRPr="00E762B0">
        <w:rPr>
          <w:rFonts w:ascii="Times New Roman" w:eastAsia="Times New Roman" w:hAnsi="Times New Roman" w:cs="Times New Roman"/>
          <w:iCs/>
          <w:sz w:val="24"/>
          <w:szCs w:val="24"/>
          <w:lang w:eastAsia="zh-CN"/>
        </w:rPr>
        <w:t>RoHS</w:t>
      </w:r>
      <w:proofErr w:type="spellEnd"/>
      <w:r w:rsidRPr="00E762B0">
        <w:rPr>
          <w:rFonts w:ascii="Times New Roman" w:eastAsia="Times New Roman" w:hAnsi="Times New Roman" w:cs="Times New Roman"/>
          <w:iCs/>
          <w:sz w:val="24"/>
          <w:szCs w:val="24"/>
          <w:lang w:eastAsia="zh-CN"/>
        </w:rPr>
        <w:t>) prasības.</w:t>
      </w:r>
    </w:p>
    <w:p w14:paraId="26641C2F"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 Darbi jāveic saskaņā ar Darba uzdevumu un Finanšu piedāvājuma formā (iepirkuma nolikuma 6.pielikums) norādīto. </w:t>
      </w:r>
    </w:p>
    <w:p w14:paraId="6999F4AA"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Pretendentam ir jānodrošina materiāli atbilstoši Finanšu piedāvājuma formā norādītajam (iepirkuma 6.pielikums) vai ekvivalenti. </w:t>
      </w:r>
      <w:r w:rsidRPr="00E762B0">
        <w:rPr>
          <w:rFonts w:ascii="Times New Roman" w:eastAsia="Times New Roman" w:hAnsi="Times New Roman" w:cs="Times New Roman"/>
          <w:color w:val="000000"/>
          <w:sz w:val="24"/>
          <w:szCs w:val="24"/>
        </w:rPr>
        <w:t>Gadījumā, ja iepirkuma līguma izpildes laikā  tiek piedāvātas Finanšu piedāvājuma formā (nolikuma 6.pielikums) ekvivalentas preces Pretendentam ir pienākums  Pasūtītājam iesniegs dokumentus, kas to apliecina.</w:t>
      </w:r>
    </w:p>
    <w:p w14:paraId="524C036F"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Pieņemt un elektroniski reģistrēt pieteikumus no iestādēm datus par elektroierīču bojājumiem, informēt Teritorijas attīstības pārvaldes Īpašuma un vides pārvaldības nodaļas nekustamā īpašuma speciālistu elektroniski uz e-pasta adresi: </w:t>
      </w:r>
      <w:hyperlink r:id="rId5" w:history="1">
        <w:r w:rsidRPr="00E762B0">
          <w:rPr>
            <w:rFonts w:ascii="Times New Roman" w:eastAsia="Times New Roman" w:hAnsi="Times New Roman" w:cs="Times New Roman"/>
            <w:color w:val="0563C1"/>
            <w:sz w:val="24"/>
            <w:szCs w:val="24"/>
            <w:u w:val="single"/>
            <w:lang w:eastAsia="zh-CN"/>
          </w:rPr>
          <w:t>ipasumi@sigulda.lv</w:t>
        </w:r>
      </w:hyperlink>
    </w:p>
    <w:p w14:paraId="492CA5D2"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Zemes rakšanas darbu veikšanas gadījumos, būvuzņēmējam</w:t>
      </w:r>
      <w:r w:rsidRPr="00E762B0">
        <w:rPr>
          <w:rFonts w:ascii="Times New Roman" w:eastAsia="Times New Roman" w:hAnsi="Times New Roman" w:cs="Times New Roman"/>
          <w:color w:val="FF0000"/>
          <w:sz w:val="24"/>
          <w:szCs w:val="24"/>
          <w:lang w:eastAsia="zh-CN"/>
        </w:rPr>
        <w:t xml:space="preserve"> </w:t>
      </w:r>
      <w:r w:rsidRPr="00E762B0">
        <w:rPr>
          <w:rFonts w:ascii="Times New Roman" w:eastAsia="Times New Roman" w:hAnsi="Times New Roman" w:cs="Times New Roman"/>
          <w:sz w:val="24"/>
          <w:szCs w:val="24"/>
          <w:lang w:eastAsia="zh-CN"/>
        </w:rPr>
        <w:t>parādīt tīkla pazemes komunikāciju atrašanās vietas dabā un saskaņot, vai nesaskaņot rakšanas atļauju.</w:t>
      </w:r>
    </w:p>
    <w:p w14:paraId="50E243BA"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Nodrošināt </w:t>
      </w:r>
      <w:r w:rsidRPr="00E762B0">
        <w:rPr>
          <w:rFonts w:ascii="Times New Roman" w:eastAsia="Times New Roman" w:hAnsi="Times New Roman" w:cs="Times New Roman"/>
          <w:iCs/>
          <w:sz w:val="24"/>
          <w:szCs w:val="24"/>
          <w:lang w:eastAsia="zh-CN"/>
        </w:rPr>
        <w:t>izlietotā apgaismojuma aprīkojuma šķirošanu un nodošanu reģenerēšanai saskaņā ar Ministru kabineta 2014.gada 8.jūlija noteikumiem Nr.388 "Elektrisko un elektronisko iekārtu kategorijas un marķēšanas prasības un šo iekārtu atkritumu apsaimniekošanas prasības un kārtība</w:t>
      </w:r>
      <w:r w:rsidRPr="00E762B0">
        <w:rPr>
          <w:rFonts w:ascii="Times New Roman" w:eastAsia="Times New Roman" w:hAnsi="Times New Roman" w:cs="Times New Roman"/>
          <w:sz w:val="24"/>
          <w:szCs w:val="24"/>
          <w:lang w:eastAsia="zh-CN"/>
        </w:rPr>
        <w:t>" iesniedzot Siguldas novada pašvaldībai utilizācijas aktus 1 reizi mēnesī, ja nav apjoma, tad iesniedz apliecinājumu par iepriekš minēto.</w:t>
      </w:r>
    </w:p>
    <w:p w14:paraId="134D19A1"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Veikt būvprojektu saskaņošanu un dot atzinumu pieņemot objektu ekspluatācijā, savas kompetences ietvaros.</w:t>
      </w:r>
    </w:p>
    <w:p w14:paraId="0FDCEDEA"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Izstrādāt priekšlikumus ar orientējošām izmaksu tāmēm par konkrētiem defektiem (elektroinstalācijas, apgaismojuma vienību, u.c. nomaiņu).</w:t>
      </w:r>
    </w:p>
    <w:p w14:paraId="299FD4DE"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Izstrādāt priekšlikumus par ēku un ēku teritoriju apgaismojumu iekārtu modernizāciju 1x gadā. </w:t>
      </w:r>
    </w:p>
    <w:p w14:paraId="73B61E97"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Par izpildītajiem darbiem sagatavo pieņemšanas nodošanas aktu, rēķinu, un iesniedz vienu reizi mēnesī, iepirkuma līgumā noteiktajā kārtībā.</w:t>
      </w:r>
    </w:p>
    <w:p w14:paraId="2CC06DCF"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lastRenderedPageBreak/>
        <w:t>Veikt nepieciešamos elektrotīklu un elektroietaišu remontdarbus piecu darba dienu laikā pēc iestādes/struktūrvienības vadītāja vai tā pilnvarotās personas pieteikuma veidlapas saņemšanas, informācija apmaiņa un saskaņošana notiek elektroniski, nosūtot pa e-pastu pieteikuma veidlapu (Darba uzdevuma 1.pielikums).</w:t>
      </w:r>
    </w:p>
    <w:p w14:paraId="6D4167DA"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 Avārijas gadījumā un neatliekamu defektu gadījumā puses sazinās pa telefonu, pēc tam divu darba dienu laikā noformējot pieteikuma veidlapa (Darba uzdevuma 1.pielikums) par iepriekš minēto.</w:t>
      </w:r>
    </w:p>
    <w:p w14:paraId="013A053E"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Avārijas gadījumā uz pakalpojuma sniegšanas vietu jāierodas 60 minūšu laikā (darba dienās no 8:00-17:00), 120 minūšu laikā (t.sk. brīvdienās un svētku dienās un no 17:00 – 8:00).</w:t>
      </w:r>
    </w:p>
    <w:p w14:paraId="29E7D67E"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Pēc pakalpojuma sniegšanas piecu darba dienu laikā  noformē 3 (trīs) eksemplāros darbu pieņemšanas – nodošanas aktu (Darba uzdevuma 1.pielikums). Viens akta eksemplārs glabājas pie iestādes/struktūrvienības vadītāja, kas pakalpojumu saņēmis, otrs eksemplārs - glabājas pie Teritorijas attīstības pārvaldes atbildīgā speciālista par līguma izpildi, bet trešais eksemplārs – pie pakalpojumu sniedzēja.</w:t>
      </w:r>
    </w:p>
    <w:p w14:paraId="3E1C77BE" w14:textId="77777777" w:rsidR="00E762B0" w:rsidRPr="00E762B0" w:rsidRDefault="00E762B0" w:rsidP="00E762B0">
      <w:pPr>
        <w:numPr>
          <w:ilvl w:val="0"/>
          <w:numId w:val="1"/>
        </w:numPr>
        <w:suppressAutoHyphens/>
        <w:spacing w:after="0" w:line="276" w:lineRule="auto"/>
        <w:ind w:left="142"/>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Veikt nepieciešamās tehniskās dokumentācijas glabāšanu, sastādīšanu un saskaņošanu. Pie Pretendenta jāatrodas šādai ēku dokumentācijai:</w:t>
      </w:r>
    </w:p>
    <w:p w14:paraId="652A7C71" w14:textId="77777777" w:rsidR="00E762B0" w:rsidRPr="00E762B0" w:rsidRDefault="00E762B0" w:rsidP="00E762B0">
      <w:pPr>
        <w:numPr>
          <w:ilvl w:val="1"/>
          <w:numId w:val="3"/>
        </w:numPr>
        <w:tabs>
          <w:tab w:val="left" w:pos="9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projekta dokumentācijai ar ieviestām izmaiņām, kas radušās pie ēkas (vai teritorijas) apgaismojuma tīkla izbūves vai pārbūves;</w:t>
      </w:r>
    </w:p>
    <w:p w14:paraId="29F4D710" w14:textId="77777777" w:rsidR="00E762B0" w:rsidRPr="00E762B0" w:rsidRDefault="00E762B0" w:rsidP="00E762B0">
      <w:pPr>
        <w:numPr>
          <w:ilvl w:val="1"/>
          <w:numId w:val="3"/>
        </w:numPr>
        <w:tabs>
          <w:tab w:val="left" w:pos="9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aktiem par apgaismojuma iekārtu pieņemšanu ekspluatācijā (kopijas pie Pretendenta, oriģināli glabājas pašvaldībā);</w:t>
      </w:r>
    </w:p>
    <w:p w14:paraId="30EB5CC0" w14:textId="77777777" w:rsidR="00E762B0" w:rsidRPr="00E762B0" w:rsidRDefault="00E762B0" w:rsidP="00E762B0">
      <w:pPr>
        <w:numPr>
          <w:ilvl w:val="1"/>
          <w:numId w:val="3"/>
        </w:numPr>
        <w:tabs>
          <w:tab w:val="left" w:pos="9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aktiem par segto darbu izpildes pieņemšanu (kopijas pie Pretendenta, oriģināli glabājas pašvaldībā); </w:t>
      </w:r>
    </w:p>
    <w:p w14:paraId="505206B8" w14:textId="77777777" w:rsidR="00E762B0" w:rsidRPr="00E762B0" w:rsidRDefault="00E762B0" w:rsidP="00E762B0">
      <w:pPr>
        <w:numPr>
          <w:ilvl w:val="0"/>
          <w:numId w:val="1"/>
        </w:numPr>
        <w:ind w:left="360"/>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Kabeļu izbūves gadījumā iestāžu teritorijās divu nedēļu laikā no izbūves darbu veikšanas Siguldas novada pašvaldības Būvniecības kontroles nodaļas ģeodēzijas inženierim jāiesniedz </w:t>
      </w:r>
      <w:proofErr w:type="spellStart"/>
      <w:r w:rsidRPr="00E762B0">
        <w:rPr>
          <w:rFonts w:ascii="Times New Roman" w:eastAsia="Times New Roman" w:hAnsi="Times New Roman" w:cs="Times New Roman"/>
          <w:sz w:val="24"/>
          <w:szCs w:val="24"/>
          <w:lang w:eastAsia="zh-CN"/>
        </w:rPr>
        <w:t>izpildshēmas</w:t>
      </w:r>
      <w:proofErr w:type="spellEnd"/>
      <w:r w:rsidRPr="00E762B0">
        <w:rPr>
          <w:rFonts w:ascii="Times New Roman" w:eastAsia="Times New Roman" w:hAnsi="Times New Roman" w:cs="Times New Roman"/>
          <w:sz w:val="24"/>
          <w:szCs w:val="24"/>
          <w:lang w:eastAsia="zh-CN"/>
        </w:rPr>
        <w:t>.</w:t>
      </w:r>
    </w:p>
    <w:p w14:paraId="75D899EE" w14:textId="77777777" w:rsidR="00E762B0" w:rsidRPr="00E762B0" w:rsidRDefault="00E762B0" w:rsidP="00E762B0">
      <w:pPr>
        <w:numPr>
          <w:ilvl w:val="0"/>
          <w:numId w:val="1"/>
        </w:numPr>
        <w:tabs>
          <w:tab w:val="left" w:pos="900"/>
        </w:tabs>
        <w:suppressAutoHyphens/>
        <w:spacing w:after="0" w:line="276" w:lineRule="auto"/>
        <w:ind w:left="142" w:hanging="284"/>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Apkalpojamo iestāžu saraksts pievienots nolikumam kā 9.pielikums un ir atsevišķs dokuments. </w:t>
      </w:r>
    </w:p>
    <w:p w14:paraId="11963E8B" w14:textId="77777777" w:rsidR="00E762B0" w:rsidRPr="00E762B0" w:rsidRDefault="00E762B0" w:rsidP="00E762B0">
      <w:pPr>
        <w:tabs>
          <w:tab w:val="left" w:pos="1800"/>
        </w:tabs>
        <w:suppressAutoHyphens/>
        <w:spacing w:after="0" w:line="240" w:lineRule="auto"/>
        <w:rPr>
          <w:rFonts w:ascii="Times New Roman" w:eastAsia="Times New Roman" w:hAnsi="Times New Roman" w:cs="Times New Roman"/>
          <w:sz w:val="24"/>
          <w:szCs w:val="24"/>
          <w:lang w:eastAsia="zh-CN"/>
        </w:rPr>
      </w:pPr>
    </w:p>
    <w:p w14:paraId="4BEA105E" w14:textId="77777777" w:rsidR="00E762B0" w:rsidRPr="00E762B0" w:rsidRDefault="00E762B0" w:rsidP="00E762B0">
      <w:pPr>
        <w:tabs>
          <w:tab w:val="left" w:pos="1800"/>
        </w:tabs>
        <w:suppressAutoHyphens/>
        <w:spacing w:after="0" w:line="240" w:lineRule="auto"/>
        <w:jc w:val="center"/>
        <w:rPr>
          <w:rFonts w:ascii="Times New Roman" w:eastAsia="Times New Roman" w:hAnsi="Times New Roman" w:cs="Times New Roman"/>
          <w:b/>
          <w:sz w:val="24"/>
          <w:szCs w:val="24"/>
          <w:lang w:eastAsia="zh-CN"/>
        </w:rPr>
      </w:pPr>
      <w:r w:rsidRPr="00E762B0">
        <w:rPr>
          <w:rFonts w:ascii="Times New Roman" w:eastAsia="Times New Roman" w:hAnsi="Times New Roman" w:cs="Times New Roman"/>
          <w:b/>
          <w:sz w:val="24"/>
          <w:szCs w:val="24"/>
          <w:lang w:eastAsia="zh-CN"/>
        </w:rPr>
        <w:t xml:space="preserve">ADMINISTRĀCIJA UN IESTĀŽU  APGAISMOJUMA, ELEKTROIEKĀRTU UN ĒKU ELEKTROSISTĒMĀ VEICAMĀS DARBĪBAS </w:t>
      </w:r>
    </w:p>
    <w:p w14:paraId="6D82D6FD" w14:textId="77777777" w:rsidR="00E762B0" w:rsidRPr="00E762B0" w:rsidRDefault="00E762B0" w:rsidP="00E762B0">
      <w:pPr>
        <w:tabs>
          <w:tab w:val="left" w:pos="1800"/>
        </w:tabs>
        <w:suppressAutoHyphens/>
        <w:spacing w:after="0" w:line="240" w:lineRule="auto"/>
        <w:jc w:val="both"/>
        <w:rPr>
          <w:rFonts w:ascii="Times New Roman" w:eastAsia="Times New Roman" w:hAnsi="Times New Roman" w:cs="Times New Roman"/>
          <w:b/>
          <w:sz w:val="24"/>
          <w:szCs w:val="24"/>
          <w:u w:val="single"/>
          <w:lang w:eastAsia="zh-CN"/>
        </w:rPr>
      </w:pPr>
    </w:p>
    <w:p w14:paraId="4F7E96E1" w14:textId="77777777" w:rsidR="00E762B0" w:rsidRPr="00E762B0" w:rsidRDefault="00E762B0" w:rsidP="00E762B0">
      <w:pPr>
        <w:tabs>
          <w:tab w:val="left" w:pos="1800"/>
        </w:tabs>
        <w:suppressAutoHyphens/>
        <w:spacing w:after="0" w:line="240" w:lineRule="auto"/>
        <w:ind w:left="270"/>
        <w:jc w:val="both"/>
        <w:rPr>
          <w:rFonts w:ascii="Times New Roman" w:eastAsia="Times New Roman" w:hAnsi="Times New Roman" w:cs="Times New Roman"/>
          <w:sz w:val="24"/>
          <w:szCs w:val="24"/>
          <w:lang w:eastAsia="zh-CN"/>
        </w:rPr>
      </w:pPr>
    </w:p>
    <w:p w14:paraId="466F1007" w14:textId="77777777" w:rsidR="00E762B0" w:rsidRPr="00E762B0" w:rsidRDefault="00E762B0" w:rsidP="00E762B0">
      <w:pPr>
        <w:tabs>
          <w:tab w:val="left" w:pos="1800"/>
        </w:tabs>
        <w:suppressAutoHyphens/>
        <w:spacing w:after="0" w:line="240" w:lineRule="auto"/>
        <w:ind w:left="270"/>
        <w:jc w:val="both"/>
        <w:rPr>
          <w:rFonts w:ascii="Times New Roman" w:eastAsia="Times New Roman" w:hAnsi="Times New Roman" w:cs="Times New Roman"/>
          <w:b/>
          <w:sz w:val="24"/>
          <w:szCs w:val="24"/>
          <w:u w:val="single"/>
          <w:lang w:eastAsia="zh-CN"/>
        </w:rPr>
      </w:pPr>
      <w:r w:rsidRPr="00E762B0">
        <w:rPr>
          <w:rFonts w:ascii="Times New Roman" w:eastAsia="Times New Roman" w:hAnsi="Times New Roman" w:cs="Times New Roman"/>
          <w:b/>
          <w:sz w:val="24"/>
          <w:szCs w:val="24"/>
          <w:u w:val="single"/>
          <w:lang w:eastAsia="zh-CN"/>
        </w:rPr>
        <w:t>Veikt iestāžu un to teritorijās esošo elektroietaišu tehnisko apkalpošanu, kurā ietilpst:</w:t>
      </w:r>
    </w:p>
    <w:p w14:paraId="2DC6B1AA" w14:textId="77777777" w:rsidR="00E762B0" w:rsidRPr="00E762B0" w:rsidRDefault="00E762B0" w:rsidP="00E762B0">
      <w:pPr>
        <w:tabs>
          <w:tab w:val="left" w:pos="1800"/>
        </w:tabs>
        <w:suppressAutoHyphens/>
        <w:spacing w:after="0" w:line="240" w:lineRule="auto"/>
        <w:jc w:val="both"/>
        <w:rPr>
          <w:rFonts w:ascii="Times New Roman" w:eastAsia="Times New Roman" w:hAnsi="Times New Roman" w:cs="Times New Roman"/>
          <w:b/>
          <w:sz w:val="24"/>
          <w:szCs w:val="24"/>
          <w:u w:val="single"/>
          <w:lang w:eastAsia="zh-CN"/>
        </w:rPr>
      </w:pPr>
    </w:p>
    <w:p w14:paraId="3A9A876C" w14:textId="77777777" w:rsidR="00E762B0" w:rsidRPr="00E762B0" w:rsidRDefault="00E762B0" w:rsidP="00E762B0">
      <w:pPr>
        <w:numPr>
          <w:ilvl w:val="0"/>
          <w:numId w:val="2"/>
        </w:numPr>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Calibri" w:hAnsi="Times New Roman" w:cs="Times New Roman"/>
          <w:sz w:val="24"/>
          <w:szCs w:val="24"/>
        </w:rPr>
        <w:t>Elektroietaišu skaitītāju rādījumu nolasīšana 1 (vienu) reizi mēnesī, mēneša 1. datumā. Rādītāju datu nodošana, ievadīšana akciju sabiedrības “Sadales tīkls” mājaslapas reģistrā (nolikuma 9.pielikums).</w:t>
      </w:r>
    </w:p>
    <w:p w14:paraId="554A0AB5" w14:textId="4E466B46"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Calibri" w:hAnsi="Times New Roman" w:cs="Times New Roman"/>
          <w:sz w:val="24"/>
          <w:szCs w:val="24"/>
        </w:rPr>
        <w:t xml:space="preserve">Kontroles skaitītāju rādījumi nolasīšana 1 (vienu) reizi mēnesī 1.datumā. Rādītāji jāiesniedz Siguldas novada pašvaldības grāmatvedībā. </w:t>
      </w:r>
    </w:p>
    <w:p w14:paraId="14899EBE" w14:textId="77777777" w:rsidR="00E762B0" w:rsidRPr="00E762B0" w:rsidRDefault="00E762B0" w:rsidP="00E762B0">
      <w:pPr>
        <w:numPr>
          <w:ilvl w:val="0"/>
          <w:numId w:val="2"/>
        </w:numPr>
        <w:tabs>
          <w:tab w:val="left" w:pos="72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Calibri" w:hAnsi="Times New Roman" w:cs="Times New Roman"/>
          <w:color w:val="000000"/>
          <w:sz w:val="24"/>
          <w:szCs w:val="24"/>
        </w:rPr>
        <w:t>Spēka kab. līniju (aptuveni 9,2 km) pastāvīgās darbības nodrošināšana.</w:t>
      </w:r>
    </w:p>
    <w:p w14:paraId="7E9BA275" w14:textId="77777777" w:rsidR="00E762B0" w:rsidRPr="00E762B0" w:rsidRDefault="00E762B0" w:rsidP="00E762B0">
      <w:pPr>
        <w:numPr>
          <w:ilvl w:val="0"/>
          <w:numId w:val="2"/>
        </w:numPr>
        <w:tabs>
          <w:tab w:val="left" w:pos="72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Nodrošināt </w:t>
      </w:r>
      <w:proofErr w:type="spellStart"/>
      <w:r w:rsidRPr="00E762B0">
        <w:rPr>
          <w:rFonts w:ascii="Times New Roman" w:eastAsia="Times New Roman" w:hAnsi="Times New Roman" w:cs="Times New Roman"/>
          <w:sz w:val="24"/>
          <w:szCs w:val="24"/>
          <w:lang w:eastAsia="zh-CN"/>
        </w:rPr>
        <w:t>dežūrējošās</w:t>
      </w:r>
      <w:proofErr w:type="spellEnd"/>
      <w:r w:rsidRPr="00E762B0">
        <w:rPr>
          <w:rFonts w:ascii="Times New Roman" w:eastAsia="Times New Roman" w:hAnsi="Times New Roman" w:cs="Times New Roman"/>
          <w:sz w:val="24"/>
          <w:szCs w:val="24"/>
          <w:lang w:eastAsia="zh-CN"/>
        </w:rPr>
        <w:t xml:space="preserve"> (operatīvās) brigādes ierašanos uz ārkārtas izsaukumiem.</w:t>
      </w:r>
    </w:p>
    <w:p w14:paraId="33B44EA0"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Spēka kabeļu pievilkšana līdz ēkas sadalei, tranšejas rakšanas darbi.</w:t>
      </w:r>
    </w:p>
    <w:p w14:paraId="27392E29"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Bojājumu novēršana kabeļu līnijās. </w:t>
      </w:r>
    </w:p>
    <w:p w14:paraId="57ACB329"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Izdegušo spuldžu  nomaiņa, apgaismošanas tīkla iekārtu apskate.</w:t>
      </w:r>
    </w:p>
    <w:p w14:paraId="176204B0"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Tehnisko noteikumu izstrādāšana.</w:t>
      </w:r>
    </w:p>
    <w:p w14:paraId="265A90C8"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 xml:space="preserve">Sniegt </w:t>
      </w:r>
      <w:proofErr w:type="spellStart"/>
      <w:r w:rsidRPr="00E762B0">
        <w:rPr>
          <w:rFonts w:ascii="Times New Roman" w:eastAsia="Times New Roman" w:hAnsi="Times New Roman" w:cs="Times New Roman"/>
          <w:sz w:val="24"/>
          <w:szCs w:val="24"/>
          <w:lang w:eastAsia="zh-CN"/>
        </w:rPr>
        <w:t>autopacēlāja</w:t>
      </w:r>
      <w:proofErr w:type="spellEnd"/>
      <w:r w:rsidRPr="00E762B0">
        <w:rPr>
          <w:rFonts w:ascii="Times New Roman" w:eastAsia="Times New Roman" w:hAnsi="Times New Roman" w:cs="Times New Roman"/>
          <w:sz w:val="24"/>
          <w:szCs w:val="24"/>
          <w:lang w:eastAsia="zh-CN"/>
        </w:rPr>
        <w:t xml:space="preserve"> pakalpojums.</w:t>
      </w:r>
    </w:p>
    <w:p w14:paraId="7B710F03"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Esošo apgaismes iekārtu remonts.</w:t>
      </w:r>
    </w:p>
    <w:p w14:paraId="3B59D56F"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Jaunu apgaismojuma ierīču uzstādīšanu.</w:t>
      </w:r>
    </w:p>
    <w:p w14:paraId="005DDA2C" w14:textId="77777777" w:rsidR="00E762B0" w:rsidRPr="00E762B0" w:rsidRDefault="00E762B0" w:rsidP="00E762B0">
      <w:pPr>
        <w:numPr>
          <w:ilvl w:val="0"/>
          <w:numId w:val="2"/>
        </w:numPr>
        <w:tabs>
          <w:tab w:val="left" w:pos="18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Avārijas gaismekļu pārbaudes, remonts, nomaiņa.</w:t>
      </w:r>
    </w:p>
    <w:p w14:paraId="2B876B1B" w14:textId="77777777" w:rsidR="00E762B0" w:rsidRPr="00E762B0" w:rsidRDefault="00E762B0" w:rsidP="00E762B0">
      <w:pPr>
        <w:numPr>
          <w:ilvl w:val="0"/>
          <w:numId w:val="2"/>
        </w:numPr>
        <w:tabs>
          <w:tab w:val="left" w:pos="18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Apgaismes ķermeņu montāža ēku teritorijas apgaismojumā.</w:t>
      </w:r>
    </w:p>
    <w:p w14:paraId="0524A93B" w14:textId="77777777" w:rsidR="00E762B0" w:rsidRPr="00E762B0" w:rsidRDefault="00E762B0" w:rsidP="00E762B0">
      <w:pPr>
        <w:numPr>
          <w:ilvl w:val="0"/>
          <w:numId w:val="2"/>
        </w:numPr>
        <w:tabs>
          <w:tab w:val="left" w:pos="18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Apgaismes stabu nomaiņa ēku teritorijās.</w:t>
      </w:r>
    </w:p>
    <w:p w14:paraId="6A7CE3B2" w14:textId="77777777" w:rsidR="00E762B0" w:rsidRPr="00E762B0" w:rsidRDefault="00E762B0" w:rsidP="00E762B0">
      <w:pPr>
        <w:numPr>
          <w:ilvl w:val="0"/>
          <w:numId w:val="2"/>
        </w:numPr>
        <w:tabs>
          <w:tab w:val="left" w:pos="18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Apgaismes ķermeņu un nosedzošo stiklu (plastmasas) tīrīšanu (teritorijas apgaismojumam).</w:t>
      </w:r>
    </w:p>
    <w:p w14:paraId="54380465" w14:textId="77777777" w:rsidR="00E762B0" w:rsidRPr="00E762B0" w:rsidRDefault="00E762B0" w:rsidP="00E762B0">
      <w:pPr>
        <w:numPr>
          <w:ilvl w:val="0"/>
          <w:numId w:val="2"/>
        </w:numPr>
        <w:tabs>
          <w:tab w:val="left" w:pos="180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Kabeļu montāža ēku teritorijās āra apgaismojumam, kabeļu komunikācija</w:t>
      </w:r>
    </w:p>
    <w:p w14:paraId="040D83A4" w14:textId="77777777" w:rsidR="00E762B0" w:rsidRPr="00E762B0" w:rsidRDefault="00E762B0" w:rsidP="00E762B0">
      <w:pPr>
        <w:numPr>
          <w:ilvl w:val="0"/>
          <w:numId w:val="2"/>
        </w:numPr>
        <w:tabs>
          <w:tab w:val="left" w:pos="1800"/>
        </w:tabs>
        <w:suppressAutoHyphens/>
        <w:spacing w:after="0" w:line="276" w:lineRule="auto"/>
        <w:contextualSpacing/>
        <w:jc w:val="both"/>
        <w:rPr>
          <w:rFonts w:ascii="Times New Roman" w:eastAsia="Times New Roman" w:hAnsi="Times New Roman" w:cs="Times New Roman"/>
          <w:sz w:val="24"/>
          <w:szCs w:val="24"/>
          <w:lang w:eastAsia="zh-CN"/>
        </w:rPr>
      </w:pPr>
      <w:proofErr w:type="spellStart"/>
      <w:r w:rsidRPr="00E762B0">
        <w:rPr>
          <w:rFonts w:ascii="Times New Roman" w:eastAsia="Times New Roman" w:hAnsi="Times New Roman" w:cs="Times New Roman"/>
          <w:sz w:val="24"/>
          <w:szCs w:val="24"/>
          <w:lang w:eastAsia="zh-CN"/>
        </w:rPr>
        <w:t>Elektoierīču</w:t>
      </w:r>
      <w:proofErr w:type="spellEnd"/>
      <w:r w:rsidRPr="00E762B0">
        <w:rPr>
          <w:rFonts w:ascii="Times New Roman" w:eastAsia="Times New Roman" w:hAnsi="Times New Roman" w:cs="Times New Roman"/>
          <w:sz w:val="24"/>
          <w:szCs w:val="24"/>
          <w:lang w:eastAsia="zh-CN"/>
        </w:rPr>
        <w:t xml:space="preserve"> tehniskā apsekošana (sadales skapji, kontaktligzdas, vadu savienojuma vietas </w:t>
      </w:r>
      <w:proofErr w:type="spellStart"/>
      <w:r w:rsidRPr="00E762B0">
        <w:rPr>
          <w:rFonts w:ascii="Times New Roman" w:eastAsia="Times New Roman" w:hAnsi="Times New Roman" w:cs="Times New Roman"/>
          <w:sz w:val="24"/>
          <w:szCs w:val="24"/>
          <w:lang w:eastAsia="zh-CN"/>
        </w:rPr>
        <w:t>nozarkārbās</w:t>
      </w:r>
      <w:proofErr w:type="spellEnd"/>
      <w:r w:rsidRPr="00E762B0">
        <w:rPr>
          <w:rFonts w:ascii="Times New Roman" w:eastAsia="Times New Roman" w:hAnsi="Times New Roman" w:cs="Times New Roman"/>
          <w:sz w:val="24"/>
          <w:szCs w:val="24"/>
          <w:lang w:eastAsia="zh-CN"/>
        </w:rPr>
        <w:t>, pievadi pie virtuves iekārtām) u.c.</w:t>
      </w:r>
    </w:p>
    <w:p w14:paraId="157FE21A"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Drošinātāju nomaiņa.</w:t>
      </w:r>
    </w:p>
    <w:p w14:paraId="6611C9C6" w14:textId="77777777" w:rsidR="00E762B0" w:rsidRPr="00E762B0" w:rsidRDefault="00E762B0" w:rsidP="00E762B0">
      <w:pPr>
        <w:numPr>
          <w:ilvl w:val="0"/>
          <w:numId w:val="2"/>
        </w:numPr>
        <w:tabs>
          <w:tab w:val="left" w:pos="720"/>
        </w:tabs>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Ēku iekšējo elektrisko tīklu atjaunošana.</w:t>
      </w:r>
    </w:p>
    <w:p w14:paraId="537691F6"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Slēdžu un kontaktligzdu nomaiņa.</w:t>
      </w:r>
    </w:p>
    <w:p w14:paraId="06CA6CD4"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Fāžu noslodzes pārbaude pēc ēkas apgaismojuma tīkla shēmas būtiskām izmaiņām.</w:t>
      </w:r>
    </w:p>
    <w:p w14:paraId="1EBDA80E" w14:textId="77777777" w:rsidR="00E762B0" w:rsidRPr="00E762B0" w:rsidRDefault="00E762B0" w:rsidP="00E762B0">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Zemējuma ietaišu pārbaude pēc remontdarbu veikšanas vai ievērojot noteikto pārbaužu grafiku.</w:t>
      </w:r>
    </w:p>
    <w:p w14:paraId="6CE4ECE9" w14:textId="77777777" w:rsidR="00E762B0" w:rsidRPr="00E762B0" w:rsidRDefault="00E762B0" w:rsidP="00E762B0">
      <w:pPr>
        <w:numPr>
          <w:ilvl w:val="0"/>
          <w:numId w:val="2"/>
        </w:numPr>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Veikt nepieciešamos slodžu un izolācijas pretestības mērījumus ēku elektrotīklā.</w:t>
      </w:r>
    </w:p>
    <w:p w14:paraId="25619FF5" w14:textId="77777777" w:rsidR="00E762B0" w:rsidRPr="00E762B0" w:rsidRDefault="00E762B0" w:rsidP="00E762B0">
      <w:pPr>
        <w:numPr>
          <w:ilvl w:val="0"/>
          <w:numId w:val="2"/>
        </w:numPr>
        <w:suppressAutoHyphens/>
        <w:spacing w:after="0" w:line="276" w:lineRule="auto"/>
        <w:contextualSpacing/>
        <w:jc w:val="both"/>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t>Stacionārā ģeneratora uzturēšana un jaunu ģeneratoru iznomāšana pēc nepieciešamības.</w:t>
      </w:r>
    </w:p>
    <w:p w14:paraId="2D42307A" w14:textId="77777777" w:rsidR="00E762B0" w:rsidRPr="00E762B0" w:rsidRDefault="00E762B0" w:rsidP="00E762B0">
      <w:pPr>
        <w:rPr>
          <w:rFonts w:ascii="Times New Roman" w:eastAsia="Times New Roman" w:hAnsi="Times New Roman" w:cs="Times New Roman"/>
          <w:sz w:val="24"/>
          <w:szCs w:val="24"/>
          <w:lang w:eastAsia="zh-CN"/>
        </w:rPr>
      </w:pPr>
      <w:r w:rsidRPr="00E762B0">
        <w:rPr>
          <w:rFonts w:ascii="Times New Roman" w:eastAsia="Times New Roman" w:hAnsi="Times New Roman" w:cs="Times New Roman"/>
          <w:sz w:val="24"/>
          <w:szCs w:val="24"/>
          <w:lang w:eastAsia="zh-CN"/>
        </w:rPr>
        <w:br w:type="page"/>
      </w:r>
    </w:p>
    <w:p w14:paraId="5F4A942E" w14:textId="77777777" w:rsidR="00E762B0" w:rsidRPr="00E762B0" w:rsidRDefault="00E762B0" w:rsidP="00E762B0">
      <w:pPr>
        <w:jc w:val="right"/>
        <w:rPr>
          <w:rFonts w:ascii="Times New Roman" w:eastAsia="Calibri" w:hAnsi="Times New Roman" w:cs="Times New Roman"/>
          <w:b/>
          <w:sz w:val="24"/>
          <w:szCs w:val="24"/>
        </w:rPr>
      </w:pPr>
      <w:r w:rsidRPr="00E762B0">
        <w:rPr>
          <w:rFonts w:ascii="Times New Roman" w:eastAsia="Calibri" w:hAnsi="Times New Roman" w:cs="Times New Roman"/>
          <w:b/>
          <w:sz w:val="24"/>
          <w:szCs w:val="24"/>
        </w:rPr>
        <w:t>Darba uzdevuma 1.pielikums</w:t>
      </w:r>
    </w:p>
    <w:p w14:paraId="4B239D13" w14:textId="77777777" w:rsidR="00E762B0" w:rsidRPr="00E762B0" w:rsidRDefault="00E762B0" w:rsidP="00E762B0">
      <w:pPr>
        <w:jc w:val="right"/>
        <w:rPr>
          <w:rFonts w:ascii="Times New Roman" w:eastAsia="Calibri" w:hAnsi="Times New Roman" w:cs="Times New Roman"/>
          <w:b/>
          <w:sz w:val="24"/>
          <w:szCs w:val="24"/>
        </w:rPr>
      </w:pPr>
    </w:p>
    <w:p w14:paraId="304DBF1D" w14:textId="77777777" w:rsidR="00E762B0" w:rsidRPr="00E762B0" w:rsidRDefault="00E762B0" w:rsidP="00E762B0">
      <w:pPr>
        <w:jc w:val="center"/>
        <w:rPr>
          <w:rFonts w:ascii="Calibri" w:eastAsia="Calibri" w:hAnsi="Calibri" w:cs="Times New Roman"/>
          <w:b/>
        </w:rPr>
      </w:pPr>
      <w:r w:rsidRPr="00E762B0">
        <w:rPr>
          <w:rFonts w:ascii="Calibri" w:eastAsia="Calibri" w:hAnsi="Calibri" w:cs="Times New Roman"/>
          <w:b/>
        </w:rPr>
        <w:t>Bojājuma vai remontdarba apraksts</w:t>
      </w:r>
    </w:p>
    <w:p w14:paraId="31A993E0" w14:textId="77777777" w:rsidR="00E762B0" w:rsidRPr="00E762B0" w:rsidRDefault="00E762B0" w:rsidP="00E762B0">
      <w:pPr>
        <w:rPr>
          <w:rFonts w:ascii="Calibri" w:eastAsia="Calibri" w:hAnsi="Calibri" w:cs="Times New Roman"/>
        </w:rPr>
      </w:pPr>
    </w:p>
    <w:p w14:paraId="519AD822" w14:textId="77777777" w:rsidR="00E762B0" w:rsidRPr="00E762B0" w:rsidRDefault="00E762B0" w:rsidP="00E762B0">
      <w:pPr>
        <w:rPr>
          <w:rFonts w:ascii="Calibri" w:eastAsia="Calibri" w:hAnsi="Calibri" w:cs="Times New Roman"/>
          <w:u w:val="single"/>
        </w:rPr>
      </w:pPr>
      <w:r w:rsidRPr="00E762B0">
        <w:rPr>
          <w:rFonts w:ascii="Calibri" w:eastAsia="Calibri" w:hAnsi="Calibri" w:cs="Times New Roman"/>
          <w:u w:val="single"/>
        </w:rPr>
        <w:t>Aizpilda pieteicējs:</w:t>
      </w:r>
    </w:p>
    <w:p w14:paraId="3C626F70" w14:textId="77777777" w:rsidR="00E762B0" w:rsidRPr="00E762B0" w:rsidRDefault="00E762B0" w:rsidP="00E762B0">
      <w:pPr>
        <w:rPr>
          <w:rFonts w:ascii="Calibri" w:eastAsia="Calibri" w:hAnsi="Calibri" w:cs="Times New Roman"/>
        </w:rPr>
      </w:pPr>
    </w:p>
    <w:p w14:paraId="2759E26C"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Iestāde_____________________________________________________________________</w:t>
      </w:r>
    </w:p>
    <w:p w14:paraId="3E500EB1"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Vadītājs/ pilnvarotā persona __________________________________(telefona Nr._______)</w:t>
      </w:r>
    </w:p>
    <w:p w14:paraId="205084C1"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Bojājuma vai remontdarba apraksts ___________________________________________________________________________</w:t>
      </w:r>
    </w:p>
    <w:p w14:paraId="4C019B88"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___________________________________________________________________________</w:t>
      </w:r>
    </w:p>
    <w:p w14:paraId="74B88BD1"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Vēlamais darbu uzsākšanas laiks ________________________________________________</w:t>
      </w:r>
    </w:p>
    <w:p w14:paraId="66D8C1D7"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Datums___________________</w:t>
      </w:r>
    </w:p>
    <w:p w14:paraId="24914B1F" w14:textId="77777777" w:rsidR="00E762B0" w:rsidRPr="00E762B0" w:rsidRDefault="00E762B0" w:rsidP="00E762B0">
      <w:pPr>
        <w:rPr>
          <w:rFonts w:ascii="Calibri" w:eastAsia="Calibri" w:hAnsi="Calibri" w:cs="Times New Roman"/>
        </w:rPr>
      </w:pPr>
    </w:p>
    <w:p w14:paraId="74FB9AF5" w14:textId="77777777" w:rsidR="00E762B0" w:rsidRPr="00E762B0" w:rsidRDefault="00E762B0" w:rsidP="00E762B0">
      <w:pPr>
        <w:rPr>
          <w:rFonts w:ascii="Calibri" w:eastAsia="Calibri" w:hAnsi="Calibri" w:cs="Times New Roman"/>
        </w:rPr>
      </w:pPr>
    </w:p>
    <w:p w14:paraId="737499C5" w14:textId="77777777" w:rsidR="00E762B0" w:rsidRPr="00E762B0" w:rsidRDefault="00E762B0" w:rsidP="00E762B0">
      <w:pPr>
        <w:rPr>
          <w:rFonts w:ascii="Calibri" w:eastAsia="Calibri" w:hAnsi="Calibri" w:cs="Times New Roman"/>
        </w:rPr>
      </w:pPr>
    </w:p>
    <w:p w14:paraId="5B3C02A4" w14:textId="77777777" w:rsidR="00E762B0" w:rsidRPr="00E762B0" w:rsidRDefault="00E762B0" w:rsidP="00E762B0">
      <w:pPr>
        <w:jc w:val="center"/>
        <w:rPr>
          <w:rFonts w:ascii="Calibri" w:eastAsia="Calibri" w:hAnsi="Calibri" w:cs="Times New Roman"/>
          <w:b/>
        </w:rPr>
      </w:pPr>
      <w:r w:rsidRPr="00E762B0">
        <w:rPr>
          <w:rFonts w:ascii="Calibri" w:eastAsia="Calibri" w:hAnsi="Calibri" w:cs="Times New Roman"/>
          <w:b/>
        </w:rPr>
        <w:t>Bojājuma vai remontdarba nodošana</w:t>
      </w:r>
    </w:p>
    <w:p w14:paraId="283E32F5" w14:textId="77777777" w:rsidR="00E762B0" w:rsidRPr="00E762B0" w:rsidRDefault="00E762B0" w:rsidP="00E762B0">
      <w:pPr>
        <w:rPr>
          <w:rFonts w:ascii="Calibri" w:eastAsia="Calibri" w:hAnsi="Calibri" w:cs="Times New Roman"/>
        </w:rPr>
      </w:pPr>
    </w:p>
    <w:p w14:paraId="7535B1A0" w14:textId="77777777" w:rsidR="00E762B0" w:rsidRPr="00E762B0" w:rsidRDefault="00E762B0" w:rsidP="00E762B0">
      <w:pPr>
        <w:rPr>
          <w:rFonts w:ascii="Calibri" w:eastAsia="Calibri" w:hAnsi="Calibri" w:cs="Times New Roman"/>
          <w:u w:val="single"/>
        </w:rPr>
      </w:pPr>
      <w:r w:rsidRPr="00E762B0">
        <w:rPr>
          <w:rFonts w:ascii="Calibri" w:eastAsia="Calibri" w:hAnsi="Calibri" w:cs="Times New Roman"/>
          <w:u w:val="single"/>
        </w:rPr>
        <w:t>Aizpilda pakalpojuma sniedzējs:</w:t>
      </w:r>
    </w:p>
    <w:p w14:paraId="27EC320D" w14:textId="77777777" w:rsidR="00E762B0" w:rsidRPr="00E762B0" w:rsidRDefault="00E762B0" w:rsidP="00E762B0">
      <w:pPr>
        <w:rPr>
          <w:rFonts w:ascii="Calibri" w:eastAsia="Calibri" w:hAnsi="Calibri" w:cs="Times New Roman"/>
        </w:rPr>
      </w:pPr>
    </w:p>
    <w:p w14:paraId="2B48D7FE"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Veikto bojājuma vai remontdarba apraksts (var pievienot atsevišķi)_____________________</w:t>
      </w:r>
    </w:p>
    <w:p w14:paraId="2492F8C0"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Izmantotie materiāli(var pievienot atsevišķi)_______________________________________</w:t>
      </w:r>
    </w:p>
    <w:p w14:paraId="355DB08C"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Darbu uzsākšanas un pabeigšanas  laiks___________________________________________</w:t>
      </w:r>
    </w:p>
    <w:p w14:paraId="664AB9AF"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Datums________________</w:t>
      </w:r>
    </w:p>
    <w:p w14:paraId="5BC24BB5"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Pakalpojuma sniedzēja paraksts_________________________________________________</w:t>
      </w:r>
    </w:p>
    <w:p w14:paraId="47DF567D" w14:textId="77777777" w:rsidR="00E762B0" w:rsidRPr="00E762B0" w:rsidRDefault="00E762B0" w:rsidP="00E762B0">
      <w:pPr>
        <w:rPr>
          <w:rFonts w:ascii="Calibri" w:eastAsia="Calibri" w:hAnsi="Calibri" w:cs="Times New Roman"/>
        </w:rPr>
      </w:pPr>
      <w:r w:rsidRPr="00E762B0">
        <w:rPr>
          <w:rFonts w:ascii="Calibri" w:eastAsia="Calibri" w:hAnsi="Calibri" w:cs="Times New Roman"/>
        </w:rPr>
        <w:t>Pakalpojuma sniedzēja paraksts_________________________________________________</w:t>
      </w:r>
    </w:p>
    <w:p w14:paraId="5E05DD4A" w14:textId="77777777" w:rsidR="00E762B0" w:rsidRPr="00E762B0" w:rsidRDefault="00E762B0" w:rsidP="00E762B0">
      <w:pPr>
        <w:rPr>
          <w:rFonts w:ascii="Calibri" w:eastAsia="Calibri" w:hAnsi="Calibri" w:cs="Times New Roman"/>
        </w:rPr>
      </w:pPr>
    </w:p>
    <w:p w14:paraId="22073E98" w14:textId="77777777" w:rsidR="00E762B0" w:rsidRPr="00E762B0" w:rsidRDefault="00E762B0" w:rsidP="00E762B0">
      <w:pPr>
        <w:suppressAutoHyphens/>
        <w:spacing w:after="0" w:line="276" w:lineRule="auto"/>
        <w:ind w:left="644"/>
        <w:contextualSpacing/>
        <w:jc w:val="right"/>
        <w:rPr>
          <w:rFonts w:ascii="Times New Roman" w:eastAsia="Times New Roman" w:hAnsi="Times New Roman" w:cs="Times New Roman"/>
          <w:sz w:val="24"/>
          <w:szCs w:val="24"/>
          <w:lang w:eastAsia="zh-CN"/>
        </w:rPr>
      </w:pPr>
    </w:p>
    <w:p w14:paraId="0AF9177A" w14:textId="77777777" w:rsidR="00E762B0" w:rsidRPr="00E762B0" w:rsidRDefault="00E762B0" w:rsidP="00E762B0">
      <w:pPr>
        <w:rPr>
          <w:rFonts w:ascii="Calibri" w:eastAsia="Calibri" w:hAnsi="Calibri" w:cs="Times New Roman"/>
        </w:rPr>
      </w:pPr>
    </w:p>
    <w:p w14:paraId="11065706" w14:textId="77777777" w:rsidR="00E762B0" w:rsidRPr="00E762B0" w:rsidRDefault="00E762B0" w:rsidP="00E762B0">
      <w:pPr>
        <w:rPr>
          <w:rFonts w:ascii="Calibri" w:eastAsia="Calibri" w:hAnsi="Calibri" w:cs="Times New Roman"/>
          <w:lang w:val="en-US"/>
        </w:rPr>
      </w:pPr>
    </w:p>
    <w:p w14:paraId="52FE55AC" w14:textId="77777777" w:rsidR="00E762B0" w:rsidRDefault="00E762B0"/>
    <w:sectPr w:rsidR="00E762B0" w:rsidSect="00AD5479">
      <w:headerReference w:type="default" r:id="rId6"/>
      <w:footerReference w:type="default" r:id="rId7"/>
      <w:pgSz w:w="11906" w:h="16838"/>
      <w:pgMar w:top="148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C874" w14:textId="77777777" w:rsidR="00052B73" w:rsidRDefault="0036178E">
    <w:pPr>
      <w:pStyle w:val="Footer"/>
      <w:shd w:val="clear" w:color="auto" w:fill="FFFFFF"/>
      <w:ind w:right="360" w:firstLine="360"/>
    </w:pPr>
    <w:r>
      <w:rPr>
        <w:noProof/>
      </w:rPr>
      <mc:AlternateContent>
        <mc:Choice Requires="wps">
          <w:drawing>
            <wp:anchor distT="0" distB="0" distL="0" distR="0" simplePos="0" relativeHeight="251659264" behindDoc="0" locked="0" layoutInCell="1" allowOverlap="1" wp14:anchorId="2CE9E35B" wp14:editId="23C3E883">
              <wp:simplePos x="0" y="0"/>
              <wp:positionH relativeFrom="page">
                <wp:posOffset>6531610</wp:posOffset>
              </wp:positionH>
              <wp:positionV relativeFrom="paragraph">
                <wp:posOffset>635</wp:posOffset>
              </wp:positionV>
              <wp:extent cx="307975" cy="177165"/>
              <wp:effectExtent l="0" t="0" r="0" b="0"/>
              <wp:wrapSquare wrapText="larges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54165" w14:textId="77777777" w:rsidR="00052B73" w:rsidRDefault="003617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9E35B" id="_x0000_t202" coordsize="21600,21600" o:spt="202" path="m,l,21600r21600,l21600,xe">
              <v:stroke joinstyle="miter"/>
              <v:path gradientshapeok="t" o:connecttype="rect"/>
            </v:shapetype>
            <v:shape id="Text Box 14" o:spid="_x0000_s1026" type="#_x0000_t202" style="position:absolute;left:0;text-align:left;margin-left:514.3pt;margin-top:.05pt;width:24.25pt;height:13.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" stroked="f">
              <v:fill opacity="0"/>
              <v:textbox inset="0,0,0,0">
                <w:txbxContent>
                  <w:p w14:paraId="3B454165" w14:textId="77777777" w:rsidR="00052B73" w:rsidRDefault="003617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page"/>
            </v:shape>
          </w:pict>
        </mc:Fallback>
      </mc:AlternateContent>
    </w:r>
    <w:r>
      <w:rPr>
        <w:noProof/>
      </w:rPr>
      <mc:AlternateContent>
        <mc:Choice Requires="wps">
          <w:drawing>
            <wp:anchor distT="0" distB="0" distL="114300" distR="114300" simplePos="0" relativeHeight="251660288" behindDoc="1" locked="0" layoutInCell="1" allowOverlap="1" wp14:anchorId="2DBBA3E3" wp14:editId="128AFB15">
              <wp:simplePos x="0" y="0"/>
              <wp:positionH relativeFrom="column">
                <wp:posOffset>0</wp:posOffset>
              </wp:positionH>
              <wp:positionV relativeFrom="paragraph">
                <wp:posOffset>219710</wp:posOffset>
              </wp:positionV>
              <wp:extent cx="54864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0466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pt" to="6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" strokeweight=".26mm">
              <v:stroke joinstyle="miter"/>
            </v:line>
          </w:pict>
        </mc:Fallback>
      </mc:AlternateContent>
    </w:r>
    <w:r>
      <w:rPr>
        <w:i/>
        <w:color w:val="808080"/>
        <w:szCs w:val="24"/>
      </w:rPr>
      <w:tab/>
    </w:r>
    <w:r>
      <w:rPr>
        <w:rStyle w:val="PageNumber"/>
        <w:i/>
        <w:color w:val="808080"/>
        <w:szCs w:val="24"/>
      </w:rPr>
      <w:tab/>
    </w:r>
  </w:p>
  <w:p w14:paraId="0377EC87" w14:textId="77777777" w:rsidR="00052B73" w:rsidRDefault="0036178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3E31" w14:textId="77777777" w:rsidR="003F17E3" w:rsidRDefault="0036178E" w:rsidP="003F17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306"/>
    <w:multiLevelType w:val="hybridMultilevel"/>
    <w:tmpl w:val="85069F90"/>
    <w:lvl w:ilvl="0" w:tplc="F4900110">
      <w:start w:val="1"/>
      <w:numFmt w:val="decimal"/>
      <w:lvlText w:val="%1."/>
      <w:lvlJc w:val="left"/>
      <w:pPr>
        <w:ind w:left="643" w:hanging="360"/>
      </w:pPr>
      <w:rPr>
        <w:rFonts w:ascii="Times New Roman" w:eastAsia="Times New Roman" w:hAnsi="Times New Roman" w:cs="Times New Roman"/>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3271511C"/>
    <w:multiLevelType w:val="multilevel"/>
    <w:tmpl w:val="3E780A78"/>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3D1D50D3"/>
    <w:multiLevelType w:val="multilevel"/>
    <w:tmpl w:val="F2DEB984"/>
    <w:lvl w:ilvl="0">
      <w:start w:val="14"/>
      <w:numFmt w:val="decimal"/>
      <w:lvlText w:val="%1."/>
      <w:lvlJc w:val="left"/>
      <w:pPr>
        <w:ind w:left="480" w:hanging="480"/>
      </w:pPr>
      <w:rPr>
        <w:rFonts w:hint="default"/>
      </w:rPr>
    </w:lvl>
    <w:lvl w:ilvl="1">
      <w:start w:val="1"/>
      <w:numFmt w:val="decimal"/>
      <w:lvlText w:val="%1.%2."/>
      <w:lvlJc w:val="left"/>
      <w:pPr>
        <w:ind w:left="1702" w:hanging="48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B0"/>
    <w:rsid w:val="00032CAD"/>
    <w:rsid w:val="0036178E"/>
    <w:rsid w:val="00E762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E5DE"/>
  <w15:chartTrackingRefBased/>
  <w15:docId w15:val="{977249B0-F5F3-4A3E-BC39-F0A1393D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2B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762B0"/>
  </w:style>
  <w:style w:type="paragraph" w:styleId="Footer">
    <w:name w:val="footer"/>
    <w:basedOn w:val="Normal"/>
    <w:link w:val="FooterChar"/>
    <w:uiPriority w:val="99"/>
    <w:semiHidden/>
    <w:unhideWhenUsed/>
    <w:rsid w:val="00E762B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762B0"/>
  </w:style>
  <w:style w:type="character" w:styleId="PageNumber">
    <w:name w:val="page number"/>
    <w:basedOn w:val="DefaultParagraphFont"/>
    <w:rsid w:val="00E7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ipasumi@siguld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4869</Words>
  <Characters>2776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Liga Landsberga</cp:lastModifiedBy>
  <cp:revision>3</cp:revision>
  <dcterms:created xsi:type="dcterms:W3CDTF">2019-01-29T13:28:00Z</dcterms:created>
  <dcterms:modified xsi:type="dcterms:W3CDTF">2019-01-29T13:30:00Z</dcterms:modified>
</cp:coreProperties>
</file>