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9871" w14:textId="1224D34B" w:rsidR="009E614E" w:rsidRDefault="009E614E" w:rsidP="009E614E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6</w:t>
      </w:r>
      <w:r w:rsidRPr="00A63C2B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.pielikums</w:t>
      </w:r>
    </w:p>
    <w:p w14:paraId="72BB3B1E" w14:textId="77777777" w:rsidR="009E614E" w:rsidRPr="009E614E" w:rsidRDefault="009E614E" w:rsidP="009E614E">
      <w:pPr>
        <w:tabs>
          <w:tab w:val="left" w:pos="5880"/>
        </w:tabs>
        <w:suppressAutoHyphens/>
        <w:spacing w:after="0"/>
        <w:jc w:val="right"/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</w:pPr>
      <w:r w:rsidRPr="008316B2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8316B2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9E614E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Ska</w:t>
      </w:r>
      <w:r w:rsidRPr="009E614E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ņ</w:t>
      </w:r>
      <w:r w:rsidRPr="009E614E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as, gaismas un skatuves apr</w:t>
      </w:r>
      <w:r w:rsidRPr="009E614E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ī</w:t>
      </w:r>
      <w:r w:rsidRPr="009E614E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 xml:space="preserve">kojuma noma </w:t>
      </w:r>
    </w:p>
    <w:p w14:paraId="3C157B01" w14:textId="77A67CF5" w:rsidR="009E614E" w:rsidRPr="0024625C" w:rsidRDefault="009E614E" w:rsidP="009E614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614E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Siguldas novada pa</w:t>
      </w:r>
      <w:r w:rsidRPr="009E614E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š</w:t>
      </w:r>
      <w:r w:rsidRPr="009E614E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vald</w:t>
      </w:r>
      <w:r w:rsidRPr="009E614E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ī</w:t>
      </w:r>
      <w:r w:rsidRPr="009E614E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bas administr</w:t>
      </w:r>
      <w:r w:rsidRPr="009E614E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ā</w:t>
      </w:r>
      <w:r w:rsidRPr="009E614E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cijas un t</w:t>
      </w:r>
      <w:r w:rsidRPr="009E614E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ā</w:t>
      </w:r>
      <w:r w:rsidRPr="009E614E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s iest</w:t>
      </w:r>
      <w:r w:rsidRPr="009E614E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āž</w:t>
      </w:r>
      <w:r w:rsidRPr="009E614E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u vajadz</w:t>
      </w:r>
      <w:r w:rsidRPr="009E614E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ī</w:t>
      </w:r>
      <w:r w:rsidRPr="009E614E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b</w:t>
      </w:r>
      <w:r w:rsidRPr="009E614E">
        <w:rPr>
          <w:rFonts w:ascii="Calibri" w:eastAsia="Calibri" w:hAnsi="Times New Roman" w:cs="Calibri"/>
          <w:bCs/>
          <w:color w:val="000000"/>
          <w:sz w:val="20"/>
          <w:szCs w:val="20"/>
          <w:u w:color="000000"/>
          <w:bdr w:val="nil"/>
          <w:lang w:eastAsia="lv-LV"/>
        </w:rPr>
        <w:t>ā</w:t>
      </w:r>
      <w:r w:rsidRPr="009E614E">
        <w:rPr>
          <w:rFonts w:ascii="Times New Roman" w:eastAsia="Calibri" w:hAnsi="Calibri" w:cs="Calibri"/>
          <w:bCs/>
          <w:color w:val="000000"/>
          <w:sz w:val="20"/>
          <w:szCs w:val="20"/>
          <w:u w:color="000000"/>
          <w:bdr w:val="nil"/>
          <w:lang w:eastAsia="lv-LV"/>
        </w:rPr>
        <w:t>m</w:t>
      </w:r>
      <w:r w:rsidRPr="008316B2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1F1CB5A6" w14:textId="1AE9E884" w:rsidR="009E614E" w:rsidRPr="00A63C2B" w:rsidRDefault="009E614E" w:rsidP="009E614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 w:rsidRPr="00A63C2B">
        <w:rPr>
          <w:rFonts w:ascii="Times New Roman" w:eastAsia="Times New Roman" w:hAnsi="Times New Roman" w:cs="Times New Roman"/>
          <w:sz w:val="18"/>
          <w:szCs w:val="18"/>
        </w:rPr>
        <w:t xml:space="preserve">dentifikācijas nr. </w:t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softHyphen/>
        <w:t>0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7</w:t>
      </w:r>
      <w:r w:rsidRPr="00A63C2B">
        <w:rPr>
          <w:rFonts w:ascii="Times New Roman" w:eastAsia="Times New Roman" w:hAnsi="Times New Roman" w:cs="Times New Roman"/>
          <w:b/>
          <w:sz w:val="18"/>
          <w:szCs w:val="18"/>
        </w:rPr>
        <w:t>/AK</w:t>
      </w:r>
    </w:p>
    <w:p w14:paraId="2B716471" w14:textId="77777777" w:rsidR="009E614E" w:rsidRPr="00A63C2B" w:rsidRDefault="009E614E" w:rsidP="009E614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63C2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A63C2B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3827134D" w14:textId="77777777" w:rsidR="009E614E" w:rsidRPr="00A63C2B" w:rsidRDefault="009E614E" w:rsidP="009E614E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E1C390E" w14:textId="77777777" w:rsidR="009E614E" w:rsidRPr="00A63C2B" w:rsidRDefault="009E614E" w:rsidP="009E614E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</w:p>
    <w:p w14:paraId="2BC59DE3" w14:textId="77777777" w:rsidR="009E614E" w:rsidRPr="00A63C2B" w:rsidRDefault="009E614E" w:rsidP="009E614E">
      <w:pPr>
        <w:keepNext/>
        <w:keepLines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46D219" w14:textId="77777777" w:rsidR="009E614E" w:rsidRPr="00A63C2B" w:rsidRDefault="009E614E" w:rsidP="009E614E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 xml:space="preserve">INFORMĀCIJA </w:t>
      </w:r>
    </w:p>
    <w:p w14:paraId="52F6F19B" w14:textId="77777777" w:rsidR="009E614E" w:rsidRPr="00A63C2B" w:rsidRDefault="009E614E" w:rsidP="009E614E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>PAR PRETENDENTA APAKŠUZŅĒMEJIEM VAI APAKŠUZŅĒMĒJU APAKŠUZŅĒMĒJIEM (ja tādi tiks piesaistīti)</w:t>
      </w:r>
    </w:p>
    <w:p w14:paraId="669FB00E" w14:textId="77777777" w:rsidR="009E614E" w:rsidRPr="00A63C2B" w:rsidRDefault="009E614E" w:rsidP="009E614E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271"/>
        <w:gridCol w:w="1553"/>
        <w:gridCol w:w="1701"/>
        <w:gridCol w:w="1560"/>
        <w:gridCol w:w="1701"/>
        <w:gridCol w:w="1343"/>
      </w:tblGrid>
      <w:tr w:rsidR="009E614E" w:rsidRPr="00A63C2B" w14:paraId="2754843D" w14:textId="77777777" w:rsidTr="00E04618">
        <w:trPr>
          <w:trHeight w:val="1556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173206BE" w14:textId="77777777" w:rsidR="009E614E" w:rsidRPr="00A63C2B" w:rsidRDefault="009E614E" w:rsidP="00E0461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Nr. p. k. 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753971F3" w14:textId="77777777" w:rsidR="009E614E" w:rsidRPr="00A63C2B" w:rsidRDefault="009E614E" w:rsidP="00E0461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 nosaukums</w:t>
            </w:r>
          </w:p>
        </w:tc>
        <w:tc>
          <w:tcPr>
            <w:tcW w:w="1553" w:type="dxa"/>
            <w:shd w:val="clear" w:color="auto" w:fill="D9D9D9"/>
          </w:tcPr>
          <w:p w14:paraId="37D569B2" w14:textId="77777777" w:rsidR="009E614E" w:rsidRDefault="009E614E" w:rsidP="00E0461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144933B" w14:textId="77777777" w:rsidR="009E614E" w:rsidRDefault="009E614E" w:rsidP="00E0461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ED0EF71" w14:textId="77777777" w:rsidR="009E614E" w:rsidRPr="00A63C2B" w:rsidRDefault="009E614E" w:rsidP="00E0461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 statuss</w:t>
            </w:r>
            <w:r>
              <w:rPr>
                <w:rStyle w:val="FootnoteReference"/>
                <w:rFonts w:ascii="Times New Roman" w:eastAsia="Calibri" w:hAnsi="Times New Roman" w:cs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07E6D97" w14:textId="77777777" w:rsidR="009E614E" w:rsidRPr="00A63C2B" w:rsidRDefault="009E614E" w:rsidP="00E0461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Adrese, </w:t>
            </w:r>
          </w:p>
          <w:p w14:paraId="0D3EDB6D" w14:textId="77777777" w:rsidR="009E614E" w:rsidRPr="00A63C2B" w:rsidRDefault="009E614E" w:rsidP="00E0461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telefons, kontaktpersona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F74A676" w14:textId="77777777" w:rsidR="009E614E" w:rsidRPr="00A63C2B" w:rsidRDefault="009E614E" w:rsidP="00E04618">
            <w:pPr>
              <w:keepNext/>
              <w:keepLines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Apakšuzņēmējam nododamais līguma apjoms no līguma kopējā apjoma (%)</w:t>
            </w:r>
          </w:p>
        </w:tc>
        <w:tc>
          <w:tcPr>
            <w:tcW w:w="1701" w:type="dxa"/>
            <w:shd w:val="clear" w:color="auto" w:fill="D9D9D9"/>
          </w:tcPr>
          <w:p w14:paraId="7922D53E" w14:textId="77777777" w:rsidR="009E614E" w:rsidRPr="00A63C2B" w:rsidRDefault="009E614E" w:rsidP="00E0461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Apakšuzņēmējam nododamais līguma apjoms no līguma kopējā apjoma </w:t>
            </w:r>
          </w:p>
          <w:p w14:paraId="485BA1E9" w14:textId="77777777" w:rsidR="009E614E" w:rsidRPr="00A63C2B" w:rsidRDefault="009E614E" w:rsidP="00E0461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(EUR bez PVN)</w:t>
            </w:r>
          </w:p>
        </w:tc>
        <w:tc>
          <w:tcPr>
            <w:tcW w:w="1343" w:type="dxa"/>
            <w:shd w:val="clear" w:color="auto" w:fill="D9D9D9"/>
            <w:vAlign w:val="center"/>
          </w:tcPr>
          <w:p w14:paraId="7E5F412E" w14:textId="77777777" w:rsidR="009E614E" w:rsidRPr="00A63C2B" w:rsidRDefault="009E614E" w:rsidP="00E0461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Apakšuzņēmējam nododamo darbību apraksts</w:t>
            </w:r>
          </w:p>
        </w:tc>
      </w:tr>
      <w:tr w:rsidR="009E614E" w:rsidRPr="00A63C2B" w14:paraId="1C40C38E" w14:textId="77777777" w:rsidTr="00E04618">
        <w:trPr>
          <w:trHeight w:val="338"/>
          <w:jc w:val="center"/>
        </w:trPr>
        <w:tc>
          <w:tcPr>
            <w:tcW w:w="573" w:type="dxa"/>
          </w:tcPr>
          <w:p w14:paraId="7061DBD1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753AE1F3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6EFB1F63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EFF966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3F8F34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58CDE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2D9E55C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14E" w:rsidRPr="00A63C2B" w14:paraId="0941CE9D" w14:textId="77777777" w:rsidTr="00E04618">
        <w:trPr>
          <w:trHeight w:val="338"/>
          <w:jc w:val="center"/>
        </w:trPr>
        <w:tc>
          <w:tcPr>
            <w:tcW w:w="573" w:type="dxa"/>
          </w:tcPr>
          <w:p w14:paraId="7B9ADCD9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7F176EDC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4104DBD8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72B2ED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47168C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38DACB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372E60BC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CA01E00" w14:textId="77777777" w:rsidR="009E614E" w:rsidRPr="00A63C2B" w:rsidRDefault="009E614E" w:rsidP="009E614E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65ABABFB" w14:textId="77777777" w:rsidR="009E614E" w:rsidRPr="00A63C2B" w:rsidRDefault="009E614E" w:rsidP="009E614E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5F1AF0D" w14:textId="77777777" w:rsidR="009E614E" w:rsidRPr="00A63C2B" w:rsidRDefault="009E614E" w:rsidP="009E614E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23D54AA9" w14:textId="77777777" w:rsidR="009E614E" w:rsidRPr="00A63C2B" w:rsidRDefault="009E614E" w:rsidP="009E614E">
      <w:pPr>
        <w:rPr>
          <w:rFonts w:ascii="Calibri" w:eastAsia="Calibri" w:hAnsi="Calibri" w:cs="Times New Roman"/>
          <w:lang w:val="en-US"/>
        </w:rPr>
      </w:pPr>
    </w:p>
    <w:p w14:paraId="489DED11" w14:textId="77777777" w:rsidR="009E614E" w:rsidRDefault="009E614E" w:rsidP="009E614E"/>
    <w:p w14:paraId="6D9C7D70" w14:textId="77777777" w:rsidR="009E614E" w:rsidRDefault="009E614E" w:rsidP="009E614E"/>
    <w:p w14:paraId="278530D8" w14:textId="77777777" w:rsidR="009E614E" w:rsidRDefault="009E614E" w:rsidP="009E614E"/>
    <w:p w14:paraId="2E6922EA" w14:textId="77777777" w:rsidR="009E614E" w:rsidRDefault="009E614E"/>
    <w:sectPr w:rsidR="009E614E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351A6" w14:textId="77777777" w:rsidR="00C91BEF" w:rsidRDefault="00C91BEF" w:rsidP="009E614E">
      <w:pPr>
        <w:spacing w:after="0" w:line="240" w:lineRule="auto"/>
      </w:pPr>
      <w:r>
        <w:separator/>
      </w:r>
    </w:p>
  </w:endnote>
  <w:endnote w:type="continuationSeparator" w:id="0">
    <w:p w14:paraId="49C2ED90" w14:textId="77777777" w:rsidR="00C91BEF" w:rsidRDefault="00C91BEF" w:rsidP="009E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2BB1" w14:textId="77777777" w:rsidR="00C91BEF" w:rsidRDefault="00C91BEF" w:rsidP="009E614E">
      <w:pPr>
        <w:spacing w:after="0" w:line="240" w:lineRule="auto"/>
      </w:pPr>
      <w:r>
        <w:separator/>
      </w:r>
    </w:p>
  </w:footnote>
  <w:footnote w:type="continuationSeparator" w:id="0">
    <w:p w14:paraId="49107327" w14:textId="77777777" w:rsidR="00C91BEF" w:rsidRDefault="00C91BEF" w:rsidP="009E614E">
      <w:pPr>
        <w:spacing w:after="0" w:line="240" w:lineRule="auto"/>
      </w:pPr>
      <w:r>
        <w:continuationSeparator/>
      </w:r>
    </w:p>
  </w:footnote>
  <w:footnote w:id="1">
    <w:p w14:paraId="3BAF8B63" w14:textId="77777777" w:rsidR="009E614E" w:rsidRPr="00EC090A" w:rsidRDefault="009E614E" w:rsidP="009E614E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.</w:t>
      </w:r>
    </w:p>
    <w:p w14:paraId="5883224A" w14:textId="77777777" w:rsidR="009E614E" w:rsidRDefault="009E614E" w:rsidP="009E614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4E"/>
    <w:rsid w:val="00033998"/>
    <w:rsid w:val="009E614E"/>
    <w:rsid w:val="00C91BEF"/>
    <w:rsid w:val="00F1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F8CF"/>
  <w15:chartTrackingRefBased/>
  <w15:docId w15:val="{825670D1-FBB9-406E-ADE6-D0413DE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61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1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2019-03-12T10:50:00Z</dcterms:created>
  <dcterms:modified xsi:type="dcterms:W3CDTF">2019-03-12T10:50:00Z</dcterms:modified>
</cp:coreProperties>
</file>