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6" w:rsidRPr="00E64874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721D36" w:rsidRPr="00E64874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E64874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E64874">
        <w:rPr>
          <w:rFonts w:ascii="Times New Roman" w:eastAsia="Times New Roman" w:hAnsi="Times New Roman" w:cs="Times New Roman"/>
          <w:lang w:eastAsia="lv-LV"/>
        </w:rPr>
        <w:t>.panta)</w:t>
      </w:r>
    </w:p>
    <w:p w:rsidR="00721D36" w:rsidRPr="00E64874" w:rsidRDefault="00721D36" w:rsidP="00721D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21D36" w:rsidRPr="00E64874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E64874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Būvuzraudzības pakalpojumi Televīzijas ielas pārbūvei posmā no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Līvkalna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ielas līdz Dārza ielai Siguldā, Siguldas novadā</w:t>
      </w:r>
      <w:r w:rsidRPr="00E6487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721D36" w:rsidRPr="00147D85" w:rsidRDefault="00721D36" w:rsidP="00721D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2016/27</w:t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721D36" w:rsidRDefault="00D25C7D" w:rsidP="00D25C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Lēmums </w:t>
      </w:r>
    </w:p>
    <w:p w:rsidR="00D25C7D" w:rsidRPr="00147D85" w:rsidRDefault="00D25C7D" w:rsidP="00D25C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721D36" w:rsidRPr="00147D85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721D36" w:rsidRPr="00E64874" w:rsidRDefault="00721D36" w:rsidP="00721D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21D36" w:rsidRPr="00E64874" w:rsidRDefault="00721D36" w:rsidP="00721D36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E64874">
        <w:rPr>
          <w:rFonts w:ascii="Times New Roman" w:eastAsia="Times New Roman" w:hAnsi="Times New Roman" w:cs="Times New Roman"/>
          <w:lang w:val="en-GB" w:eastAsia="lv-LV"/>
        </w:rPr>
        <w:t>2016</w:t>
      </w:r>
      <w:r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18</w:t>
      </w:r>
      <w:r w:rsidRPr="00E64874">
        <w:rPr>
          <w:rFonts w:ascii="Times New Roman" w:eastAsia="Times New Roman" w:hAnsi="Times New Roman" w:cs="Times New Roman"/>
          <w:lang w:eastAsia="lv-LV"/>
        </w:rPr>
        <w:t>.jūlijā</w:t>
      </w:r>
      <w:r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721D36" w:rsidRPr="00E64874" w:rsidRDefault="00721D36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</w:t>
      </w:r>
      <w:r w:rsidRPr="00E64874">
        <w:rPr>
          <w:rFonts w:ascii="Times New Roman" w:eastAsia="Times New Roman" w:hAnsi="Times New Roman" w:cs="Times New Roman"/>
          <w:lang w:val="en-GB" w:eastAsia="lv-LV"/>
        </w:rPr>
        <w:t>2</w:t>
      </w:r>
      <w:r>
        <w:rPr>
          <w:rFonts w:ascii="Times New Roman" w:eastAsia="Times New Roman" w:hAnsi="Times New Roman" w:cs="Times New Roman"/>
          <w:lang w:val="en-GB" w:eastAsia="lv-LV"/>
        </w:rPr>
        <w:t>7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>
        <w:rPr>
          <w:rFonts w:ascii="Times New Roman" w:eastAsia="Times New Roman" w:hAnsi="Times New Roman" w:cs="Times New Roman"/>
          <w:lang w:eastAsia="lv-LV"/>
        </w:rPr>
        <w:t xml:space="preserve"> 16.06</w:t>
      </w:r>
      <w:r w:rsidRPr="00E64874">
        <w:rPr>
          <w:rFonts w:ascii="Times New Roman" w:eastAsia="Times New Roman" w:hAnsi="Times New Roman" w:cs="Times New Roman"/>
          <w:lang w:eastAsia="lv-LV"/>
        </w:rPr>
        <w:t>.2016.</w:t>
      </w:r>
    </w:p>
    <w:p w:rsidR="00721D36" w:rsidRPr="00E64874" w:rsidRDefault="00721D36" w:rsidP="00721D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16.06</w:t>
      </w:r>
      <w:r w:rsidRPr="00E64874">
        <w:rPr>
          <w:rFonts w:ascii="Times New Roman" w:eastAsia="Times New Roman" w:hAnsi="Times New Roman" w:cs="Times New Roman"/>
          <w:lang w:eastAsia="lv-LV"/>
        </w:rPr>
        <w:t>.2016.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721D36" w:rsidRPr="00721D36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>
        <w:rPr>
          <w:rFonts w:ascii="Times New Roman" w:eastAsia="Times New Roman" w:hAnsi="Times New Roman" w:cs="Times New Roman"/>
          <w:lang w:eastAsia="lv-LV"/>
        </w:rPr>
        <w:t xml:space="preserve">: </w:t>
      </w:r>
      <w:r w:rsidRPr="00721D36">
        <w:rPr>
          <w:rFonts w:ascii="Times New Roman" w:eastAsia="Times New Roman" w:hAnsi="Times New Roman" w:cs="Times New Roman"/>
          <w:bCs/>
          <w:lang w:eastAsia="lv-LV"/>
        </w:rPr>
        <w:t xml:space="preserve">Būvuzraudzības pakalpojumi Televīzijas ielas pārbūvei posmā no </w:t>
      </w:r>
      <w:proofErr w:type="spellStart"/>
      <w:r w:rsidRPr="00721D36">
        <w:rPr>
          <w:rFonts w:ascii="Times New Roman" w:eastAsia="Times New Roman" w:hAnsi="Times New Roman" w:cs="Times New Roman"/>
          <w:bCs/>
          <w:lang w:eastAsia="lv-LV"/>
        </w:rPr>
        <w:t>Līvkalna</w:t>
      </w:r>
      <w:proofErr w:type="spellEnd"/>
      <w:r w:rsidRPr="00721D36">
        <w:rPr>
          <w:rFonts w:ascii="Times New Roman" w:eastAsia="Times New Roman" w:hAnsi="Times New Roman" w:cs="Times New Roman"/>
          <w:bCs/>
          <w:lang w:eastAsia="lv-LV"/>
        </w:rPr>
        <w:t xml:space="preserve"> ielas līdz Dārza ielai Siguldā, Siguldas novadā</w:t>
      </w:r>
      <w:r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21D36" w:rsidRPr="00E64874" w:rsidRDefault="00721D36" w:rsidP="00721D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Atbilstība iepirkuma Nolikumam  (Atlases dokumenti, </w:t>
      </w:r>
      <w:r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piedāvājums) un </w:t>
      </w:r>
      <w:r>
        <w:rPr>
          <w:rFonts w:ascii="Times New Roman" w:eastAsia="Times New Roman" w:hAnsi="Times New Roman" w:cs="Times New Roman"/>
          <w:lang w:eastAsia="lv-LV"/>
        </w:rPr>
        <w:t>saimnieciski izdevīgākais piedāvājums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21D36" w:rsidRPr="002255C7" w:rsidRDefault="00721D36" w:rsidP="00721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255C7">
        <w:rPr>
          <w:rFonts w:ascii="Times New Roman" w:hAnsi="Times New Roman"/>
        </w:rPr>
        <w:t xml:space="preserve">Siguldas novada Domes Būvniecības kontroles nodaļā pie Klientu apkalpošanas speciālistes, Zinātnes ielā 7, Siguldā </w:t>
      </w:r>
      <w:r w:rsidRPr="002255C7">
        <w:rPr>
          <w:rFonts w:ascii="Times New Roman" w:eastAsia="Times New Roman" w:hAnsi="Times New Roman" w:cs="Times New Roman"/>
          <w:lang w:eastAsia="lv-LV"/>
        </w:rPr>
        <w:t xml:space="preserve">līdz </w:t>
      </w:r>
      <w:r>
        <w:rPr>
          <w:rFonts w:ascii="Times New Roman" w:eastAsia="Calibri" w:hAnsi="Times New Roman" w:cs="Times New Roman"/>
        </w:rPr>
        <w:t>2016.gada 29.jūnijā</w:t>
      </w:r>
      <w:r w:rsidRPr="002255C7">
        <w:rPr>
          <w:rFonts w:ascii="Times New Roman" w:eastAsia="Times New Roman" w:hAnsi="Times New Roman" w:cs="Times New Roman"/>
          <w:lang w:eastAsia="lv-LV"/>
        </w:rPr>
        <w:t xml:space="preserve"> plkst. 10:00.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Iesniegtie pretendentu piedāvājum</w:t>
      </w:r>
      <w:r>
        <w:rPr>
          <w:rFonts w:ascii="Times New Roman" w:eastAsia="Times New Roman" w:hAnsi="Times New Roman" w:cs="Times New Roman"/>
          <w:b/>
          <w:lang w:eastAsia="lv-LV"/>
        </w:rPr>
        <w:t>i, iesniegšanas datums un laiks</w:t>
      </w:r>
      <w:r w:rsidRPr="00E64874">
        <w:rPr>
          <w:rFonts w:ascii="Times New Roman" w:eastAsia="Times New Roman" w:hAnsi="Times New Roman" w:cs="Times New Roman"/>
          <w:b/>
          <w:lang w:eastAsia="lv-LV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5812"/>
      </w:tblGrid>
      <w:tr w:rsidR="00721D36" w:rsidRPr="00E64874" w:rsidTr="009B12C0">
        <w:trPr>
          <w:trHeight w:val="1739"/>
        </w:trPr>
        <w:tc>
          <w:tcPr>
            <w:tcW w:w="512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21D36" w:rsidRPr="00E64874" w:rsidRDefault="00721D36" w:rsidP="009B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5812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721D36" w:rsidRPr="00E64874" w:rsidTr="009B12C0">
        <w:trPr>
          <w:trHeight w:val="451"/>
        </w:trPr>
        <w:tc>
          <w:tcPr>
            <w:tcW w:w="512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721D36" w:rsidRPr="00E64874" w:rsidRDefault="00721D36" w:rsidP="00721D3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28.06.2016. plkst. 15:00</w:t>
            </w:r>
          </w:p>
        </w:tc>
        <w:tc>
          <w:tcPr>
            <w:tcW w:w="5812" w:type="dxa"/>
            <w:shd w:val="clear" w:color="auto" w:fill="auto"/>
          </w:tcPr>
          <w:p w:rsidR="00721D36" w:rsidRPr="005B3D9A" w:rsidRDefault="00721D36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BaltLine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globe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721D36" w:rsidRPr="00E64874" w:rsidTr="009B12C0">
        <w:trPr>
          <w:trHeight w:val="451"/>
        </w:trPr>
        <w:tc>
          <w:tcPr>
            <w:tcW w:w="512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721D36" w:rsidRPr="00E64874" w:rsidRDefault="00721D36" w:rsidP="00721D3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29.06.2016. plkst.9:05</w:t>
            </w:r>
          </w:p>
        </w:tc>
        <w:tc>
          <w:tcPr>
            <w:tcW w:w="5812" w:type="dxa"/>
            <w:shd w:val="clear" w:color="auto" w:fill="auto"/>
          </w:tcPr>
          <w:p w:rsidR="00721D36" w:rsidRPr="005B3D9A" w:rsidRDefault="00721D36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“Firma L4</w:t>
            </w:r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721D36" w:rsidRPr="00E64874" w:rsidTr="009B12C0">
        <w:trPr>
          <w:trHeight w:val="451"/>
        </w:trPr>
        <w:tc>
          <w:tcPr>
            <w:tcW w:w="512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2602" w:type="dxa"/>
          </w:tcPr>
          <w:p w:rsidR="00721D36" w:rsidRPr="00E64874" w:rsidRDefault="00721D36" w:rsidP="00721D3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6.2016. plkst. 9:40</w:t>
            </w:r>
          </w:p>
        </w:tc>
        <w:tc>
          <w:tcPr>
            <w:tcW w:w="5812" w:type="dxa"/>
            <w:shd w:val="clear" w:color="auto" w:fill="auto"/>
          </w:tcPr>
          <w:p w:rsidR="00721D36" w:rsidRPr="005B3D9A" w:rsidRDefault="00721D36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partneri”</w:t>
            </w:r>
          </w:p>
        </w:tc>
      </w:tr>
    </w:tbl>
    <w:p w:rsidR="00721D36" w:rsidRPr="00E64874" w:rsidRDefault="00D25C7D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21D36" w:rsidRPr="00E64874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721D36" w:rsidRPr="00E64874" w:rsidRDefault="00D25C7D" w:rsidP="00721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21D36" w:rsidRPr="00E64874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721D36" w:rsidRPr="00E64874" w:rsidRDefault="00721D36" w:rsidP="00721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Piedāvājuma nodrošinājumus un a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tlases dokumentus </w:t>
      </w:r>
      <w:r>
        <w:rPr>
          <w:rFonts w:ascii="Times New Roman" w:eastAsia="Times New Roman" w:hAnsi="Times New Roman" w:cs="Times New Roman"/>
          <w:lang w:eastAsia="lv-LV"/>
        </w:rPr>
        <w:t xml:space="preserve">visi 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pretendenti ir iesnieguši atbilstoši </w:t>
      </w:r>
      <w:r>
        <w:rPr>
          <w:rFonts w:ascii="Times New Roman" w:eastAsia="Times New Roman" w:hAnsi="Times New Roman" w:cs="Times New Roman"/>
          <w:lang w:eastAsia="lv-LV"/>
        </w:rPr>
        <w:t>iepirkuma nolikuma 4.1.punktā noteiktajām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p w:rsidR="00721D36" w:rsidRDefault="00D25C7D" w:rsidP="00721D3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21D36" w:rsidRPr="00E64874">
        <w:rPr>
          <w:rFonts w:ascii="Times New Roman" w:eastAsia="Times New Roman" w:hAnsi="Times New Roman" w:cs="Times New Roman"/>
          <w:b/>
          <w:lang w:eastAsia="lv-LV"/>
        </w:rPr>
        <w:t>.2.</w:t>
      </w:r>
      <w:r w:rsidR="00721D36" w:rsidRPr="00E64874">
        <w:rPr>
          <w:rFonts w:ascii="Times New Roman" w:eastAsia="Times New Roman" w:hAnsi="Times New Roman" w:cs="Times New Roman"/>
          <w:b/>
          <w:lang w:eastAsia="lv-LV"/>
        </w:rPr>
        <w:tab/>
      </w:r>
      <w:r w:rsidR="00721D36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721D36" w:rsidRPr="00147D85" w:rsidRDefault="00721D36" w:rsidP="00721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Tehnisko piedāvājumus</w:t>
      </w:r>
      <w:r>
        <w:rPr>
          <w:rFonts w:ascii="Times New Roman" w:eastAsia="Times New Roman" w:hAnsi="Times New Roman" w:cs="Times New Roman"/>
          <w:lang w:eastAsia="lv-LV"/>
        </w:rPr>
        <w:t xml:space="preserve"> visi pretendenti ir iesnieguši atbilstoši iepirkuma nolikuma 4.2.punktā noteiktajām prasībām.</w:t>
      </w:r>
    </w:p>
    <w:p w:rsidR="00721D36" w:rsidRPr="00E64874" w:rsidRDefault="00D25C7D" w:rsidP="00721D3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21D36">
        <w:rPr>
          <w:rFonts w:ascii="Times New Roman" w:eastAsia="Times New Roman" w:hAnsi="Times New Roman" w:cs="Times New Roman"/>
          <w:b/>
          <w:lang w:eastAsia="lv-LV"/>
        </w:rPr>
        <w:t>.3.</w:t>
      </w:r>
      <w:r w:rsidR="00721D36" w:rsidRPr="00E64874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721D36" w:rsidRPr="00E64874" w:rsidRDefault="00721D36" w:rsidP="00721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piedāvājumus </w:t>
      </w:r>
      <w:r>
        <w:rPr>
          <w:rFonts w:ascii="Times New Roman" w:eastAsia="Times New Roman" w:hAnsi="Times New Roman" w:cs="Times New Roman"/>
          <w:lang w:eastAsia="lv-LV"/>
        </w:rPr>
        <w:t xml:space="preserve">visi </w:t>
      </w:r>
      <w:r w:rsidRPr="00E64874">
        <w:rPr>
          <w:rFonts w:ascii="Times New Roman" w:eastAsia="Times New Roman" w:hAnsi="Times New Roman" w:cs="Times New Roman"/>
          <w:lang w:eastAsia="lv-LV"/>
        </w:rPr>
        <w:t>pretendenti ir ie</w:t>
      </w:r>
      <w:r>
        <w:rPr>
          <w:rFonts w:ascii="Times New Roman" w:eastAsia="Times New Roman" w:hAnsi="Times New Roman" w:cs="Times New Roman"/>
          <w:lang w:eastAsia="lv-LV"/>
        </w:rPr>
        <w:t>snieguši atbilstoši nolikuma 4.3.punktā noteiktajām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721D36" w:rsidRPr="00E64874" w:rsidTr="009B12C0">
        <w:tc>
          <w:tcPr>
            <w:tcW w:w="556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721D36" w:rsidRPr="00E64874" w:rsidTr="009B12C0">
        <w:trPr>
          <w:trHeight w:val="451"/>
        </w:trPr>
        <w:tc>
          <w:tcPr>
            <w:tcW w:w="556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721D36" w:rsidRPr="005B3D9A" w:rsidRDefault="00721D36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BaltLine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globe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721D36" w:rsidRPr="005B3D9A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5B3D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6 200,00</w:t>
            </w:r>
          </w:p>
        </w:tc>
      </w:tr>
      <w:tr w:rsidR="00721D36" w:rsidRPr="00E64874" w:rsidTr="009B12C0">
        <w:trPr>
          <w:trHeight w:val="451"/>
        </w:trPr>
        <w:tc>
          <w:tcPr>
            <w:tcW w:w="556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:rsidR="00721D36" w:rsidRPr="005B3D9A" w:rsidRDefault="00721D36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“Firma L4</w:t>
            </w:r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721D36" w:rsidRPr="005B3D9A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11 800,00</w:t>
            </w:r>
          </w:p>
        </w:tc>
      </w:tr>
      <w:tr w:rsidR="00721D36" w:rsidRPr="00E64874" w:rsidTr="009B12C0">
        <w:trPr>
          <w:trHeight w:val="451"/>
        </w:trPr>
        <w:tc>
          <w:tcPr>
            <w:tcW w:w="556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:rsidR="00721D36" w:rsidRPr="005B3D9A" w:rsidRDefault="00721D36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partneri”</w:t>
            </w:r>
          </w:p>
        </w:tc>
        <w:tc>
          <w:tcPr>
            <w:tcW w:w="3420" w:type="dxa"/>
            <w:shd w:val="clear" w:color="auto" w:fill="auto"/>
          </w:tcPr>
          <w:p w:rsidR="00721D36" w:rsidRPr="00D25C7D" w:rsidRDefault="00721D36" w:rsidP="00D25C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5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500,00</w:t>
            </w:r>
          </w:p>
        </w:tc>
      </w:tr>
    </w:tbl>
    <w:p w:rsidR="00721D36" w:rsidRDefault="00721D36" w:rsidP="00721D36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F482B" w:rsidRPr="00D25C7D" w:rsidRDefault="00D25C7D" w:rsidP="00D25C7D">
      <w:pPr>
        <w:spacing w:after="0" w:line="240" w:lineRule="auto"/>
        <w:ind w:right="468" w:firstLine="709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8.4.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r w:rsidR="00DF482B" w:rsidRPr="00D25C7D">
        <w:rPr>
          <w:rFonts w:ascii="Times New Roman" w:eastAsia="Times New Roman" w:hAnsi="Times New Roman" w:cs="Times New Roman"/>
          <w:b/>
          <w:lang w:eastAsia="lv-LV"/>
        </w:rPr>
        <w:t>Saimni</w:t>
      </w:r>
      <w:r w:rsidRPr="00D25C7D">
        <w:rPr>
          <w:rFonts w:ascii="Times New Roman" w:eastAsia="Times New Roman" w:hAnsi="Times New Roman" w:cs="Times New Roman"/>
          <w:b/>
          <w:lang w:eastAsia="lv-LV"/>
        </w:rPr>
        <w:t>eciski izdevīgākā piedāvājuma vē</w:t>
      </w:r>
      <w:r w:rsidR="00DF482B" w:rsidRPr="00D25C7D">
        <w:rPr>
          <w:rFonts w:ascii="Times New Roman" w:eastAsia="Times New Roman" w:hAnsi="Times New Roman" w:cs="Times New Roman"/>
          <w:b/>
          <w:lang w:eastAsia="lv-LV"/>
        </w:rPr>
        <w:t>rtēšana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3421"/>
        <w:gridCol w:w="1522"/>
        <w:gridCol w:w="811"/>
        <w:gridCol w:w="731"/>
        <w:gridCol w:w="731"/>
      </w:tblGrid>
      <w:tr w:rsidR="00DF482B" w:rsidTr="009B12C0">
        <w:trPr>
          <w:trHeight w:val="1453"/>
        </w:trPr>
        <w:tc>
          <w:tcPr>
            <w:tcW w:w="1606" w:type="dxa"/>
          </w:tcPr>
          <w:p w:rsidR="00DF482B" w:rsidRDefault="00DF482B" w:rsidP="00DF482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F482B" w:rsidRDefault="00DF482B" w:rsidP="00DF482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DF482B" w:rsidRPr="00DF482B" w:rsidRDefault="00DF482B" w:rsidP="00DF482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DF482B">
              <w:rPr>
                <w:rFonts w:ascii="Times New Roman" w:hAnsi="Times New Roman" w:cs="Times New Roman"/>
              </w:rPr>
              <w:t>Vērtēšanas kritērijs</w:t>
            </w:r>
          </w:p>
        </w:tc>
        <w:tc>
          <w:tcPr>
            <w:tcW w:w="3579" w:type="dxa"/>
          </w:tcPr>
          <w:p w:rsidR="00DF482B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</w:p>
          <w:p w:rsidR="00DF482B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</w:p>
          <w:p w:rsidR="00DF482B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Vērtēšanas</w:t>
            </w:r>
          </w:p>
          <w:p w:rsidR="00DF482B" w:rsidRPr="00F24B14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24B14">
              <w:rPr>
                <w:rFonts w:ascii="Times New Roman" w:hAnsi="Times New Roman" w:cs="Times New Roman"/>
              </w:rPr>
              <w:t>etodika</w:t>
            </w:r>
          </w:p>
        </w:tc>
        <w:tc>
          <w:tcPr>
            <w:tcW w:w="1537" w:type="dxa"/>
          </w:tcPr>
          <w:p w:rsidR="00DF482B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</w:p>
          <w:p w:rsidR="00DF482B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</w:p>
          <w:p w:rsidR="00DF482B" w:rsidRPr="00F24B14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Maksimālais</w:t>
            </w:r>
          </w:p>
          <w:p w:rsidR="00DF482B" w:rsidRDefault="00DF482B" w:rsidP="009B12C0">
            <w:pPr>
              <w:jc w:val="center"/>
            </w:pPr>
            <w:r w:rsidRPr="00F24B14">
              <w:rPr>
                <w:rFonts w:ascii="Times New Roman" w:hAnsi="Times New Roman" w:cs="Times New Roman"/>
              </w:rPr>
              <w:t>punkti</w:t>
            </w:r>
          </w:p>
        </w:tc>
        <w:tc>
          <w:tcPr>
            <w:tcW w:w="819" w:type="dxa"/>
            <w:textDirection w:val="btLr"/>
          </w:tcPr>
          <w:p w:rsidR="00DF482B" w:rsidRPr="001B006F" w:rsidRDefault="00DF482B" w:rsidP="009B12C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1B00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“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BaltLine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Group”SIA</w:t>
            </w:r>
            <w:proofErr w:type="spellEnd"/>
          </w:p>
        </w:tc>
        <w:tc>
          <w:tcPr>
            <w:tcW w:w="711" w:type="dxa"/>
            <w:textDirection w:val="btLr"/>
          </w:tcPr>
          <w:p w:rsidR="00DF482B" w:rsidRPr="001B006F" w:rsidRDefault="00DF482B" w:rsidP="009B12C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1B00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SIA “Firma L4”</w:t>
            </w:r>
          </w:p>
        </w:tc>
        <w:tc>
          <w:tcPr>
            <w:tcW w:w="711" w:type="dxa"/>
            <w:textDirection w:val="btLr"/>
          </w:tcPr>
          <w:p w:rsidR="00DF482B" w:rsidRPr="001B006F" w:rsidRDefault="00DF482B" w:rsidP="009B12C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1B00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SIA “JURĒVIČS UN PARTNERI”</w:t>
            </w:r>
          </w:p>
        </w:tc>
      </w:tr>
      <w:tr w:rsidR="00DF482B" w:rsidTr="009B12C0">
        <w:tc>
          <w:tcPr>
            <w:tcW w:w="1606" w:type="dxa"/>
            <w:shd w:val="clear" w:color="auto" w:fill="auto"/>
            <w:vAlign w:val="center"/>
          </w:tcPr>
          <w:p w:rsidR="00DF482B" w:rsidRDefault="00DF482B" w:rsidP="009B12C0">
            <w:pPr>
              <w:pStyle w:val="StyleHeading1"/>
              <w:keepNext w:val="0"/>
              <w:widowControl w:val="0"/>
              <w:jc w:val="center"/>
              <w:rPr>
                <w:rFonts w:eastAsia="Calibri"/>
                <w:b w:val="0"/>
                <w:caps w:val="0"/>
                <w:sz w:val="20"/>
              </w:rPr>
            </w:pPr>
            <w:r w:rsidRPr="00823AD2">
              <w:rPr>
                <w:rFonts w:eastAsia="Calibri"/>
                <w:caps w:val="0"/>
                <w:sz w:val="20"/>
              </w:rPr>
              <w:t>Finanšu piedāvājums (60%)</w:t>
            </w:r>
          </w:p>
          <w:p w:rsidR="00DF482B" w:rsidRPr="00823AD2" w:rsidRDefault="00DF482B" w:rsidP="009B12C0">
            <w:pPr>
              <w:pStyle w:val="StyleHeading1"/>
              <w:keepNext w:val="0"/>
              <w:widowControl w:val="0"/>
              <w:jc w:val="center"/>
              <w:rPr>
                <w:rFonts w:eastAsia="Calibri"/>
                <w:sz w:val="20"/>
              </w:rPr>
            </w:pPr>
            <w:r w:rsidRPr="00823AD2">
              <w:rPr>
                <w:rFonts w:eastAsia="Calibri"/>
                <w:b w:val="0"/>
                <w:caps w:val="0"/>
                <w:sz w:val="20"/>
              </w:rPr>
              <w:t>Iepirkuma cena (bez PVN 21%)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DF482B" w:rsidRPr="001B006F" w:rsidRDefault="00DF482B" w:rsidP="009B12C0">
            <w:pPr>
              <w:widowControl w:val="0"/>
              <w:tabs>
                <w:tab w:val="left" w:pos="284"/>
              </w:tabs>
              <w:suppressAutoHyphens/>
              <w:spacing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0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Iepirkuma cena”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eu</w:t>
            </w:r>
            <w:r w:rsidRPr="001B0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ro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 aprēķina pēc formulas:</w:t>
            </w:r>
          </w:p>
          <w:p w:rsidR="00DF482B" w:rsidRPr="001B006F" w:rsidRDefault="00DF482B" w:rsidP="009B12C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=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</w:p>
          <w:p w:rsidR="00DF482B" w:rsidRPr="001B006F" w:rsidRDefault="00DF482B" w:rsidP="009B12C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kur:</w:t>
            </w:r>
          </w:p>
          <w:p w:rsidR="00DF482B" w:rsidRPr="001B006F" w:rsidRDefault="00DF482B" w:rsidP="009B12C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- lētākā piedāvājuma cena;</w:t>
            </w:r>
          </w:p>
          <w:p w:rsidR="00DF482B" w:rsidRPr="001B006F" w:rsidRDefault="00DF482B" w:rsidP="009B12C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- vērtējamā piedāvājuma cena;</w:t>
            </w:r>
          </w:p>
          <w:p w:rsidR="00DF482B" w:rsidRPr="001B006F" w:rsidRDefault="00DF482B" w:rsidP="009B12C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- maksimālais punktu skaits kritērijā „Iepirkuma cena”;</w:t>
            </w:r>
          </w:p>
          <w:p w:rsidR="00DF482B" w:rsidRPr="001B006F" w:rsidRDefault="00DF482B" w:rsidP="009B12C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vērtējamā piedāvājuma iegūtais punktu skaits kritērijā „Iepirkuma cena”</w:t>
            </w:r>
          </w:p>
          <w:p w:rsidR="00DF482B" w:rsidRPr="001B006F" w:rsidRDefault="00DF482B" w:rsidP="009B12C0">
            <w:pPr>
              <w:pStyle w:val="StyleHeading1"/>
              <w:keepNext w:val="0"/>
              <w:widowControl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37" w:type="dxa"/>
          </w:tcPr>
          <w:p w:rsidR="00DF482B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60</w:t>
            </w:r>
          </w:p>
          <w:p w:rsidR="00DF482B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</w:p>
          <w:p w:rsidR="00DF482B" w:rsidRPr="001B006F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F482B" w:rsidRPr="001B006F" w:rsidRDefault="00DF482B" w:rsidP="009B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711" w:type="dxa"/>
          </w:tcPr>
          <w:p w:rsidR="00DF482B" w:rsidRPr="001B006F" w:rsidRDefault="00DF482B" w:rsidP="009B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hAnsi="Times New Roman" w:cs="Times New Roman"/>
                <w:sz w:val="20"/>
                <w:szCs w:val="20"/>
              </w:rPr>
              <w:t>31,53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11" w:type="dxa"/>
          </w:tcPr>
          <w:p w:rsidR="00DF482B" w:rsidRPr="001B006F" w:rsidRDefault="00DF482B" w:rsidP="009B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hAnsi="Times New Roman" w:cs="Times New Roman"/>
                <w:sz w:val="20"/>
                <w:szCs w:val="20"/>
              </w:rPr>
              <w:t>35,43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DF482B" w:rsidTr="009B12C0">
        <w:tc>
          <w:tcPr>
            <w:tcW w:w="1606" w:type="dxa"/>
          </w:tcPr>
          <w:p w:rsidR="00DF482B" w:rsidRPr="001B006F" w:rsidRDefault="00DF482B" w:rsidP="009B12C0">
            <w:pPr>
              <w:widowControl w:val="0"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00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Tehniskais</w:t>
            </w:r>
          </w:p>
          <w:p w:rsidR="00DF482B" w:rsidRDefault="00DF482B" w:rsidP="009B12C0">
            <w:pPr>
              <w:jc w:val="center"/>
            </w:pPr>
            <w:r w:rsidRPr="001B006F">
              <w:rPr>
                <w:rFonts w:ascii="Times New Roman" w:eastAsia="Calibri" w:hAnsi="Times New Roman" w:cs="Times New Roman"/>
                <w:caps/>
                <w:sz w:val="20"/>
                <w:szCs w:val="24"/>
              </w:rPr>
              <w:t>piedāvājums (40%)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DF482B" w:rsidRPr="0088267B" w:rsidRDefault="00DF482B" w:rsidP="009B12C0">
            <w:pPr>
              <w:pStyle w:val="StyleHeading1"/>
              <w:widowControl w:val="0"/>
              <w:jc w:val="center"/>
              <w:rPr>
                <w:rFonts w:eastAsia="Calibri"/>
                <w:i/>
                <w:sz w:val="20"/>
              </w:rPr>
            </w:pPr>
            <w:r w:rsidRPr="0088267B">
              <w:rPr>
                <w:rFonts w:eastAsia="Calibri"/>
                <w:b w:val="0"/>
                <w:caps w:val="0"/>
                <w:sz w:val="20"/>
              </w:rPr>
              <w:t xml:space="preserve">Detalizēts būvuzraudzības realizācijas apraksts </w:t>
            </w:r>
          </w:p>
        </w:tc>
        <w:tc>
          <w:tcPr>
            <w:tcW w:w="1537" w:type="dxa"/>
          </w:tcPr>
          <w:p w:rsidR="00DF482B" w:rsidRPr="001B006F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9" w:type="dxa"/>
          </w:tcPr>
          <w:p w:rsidR="00DF482B" w:rsidRPr="001B006F" w:rsidRDefault="00DF482B" w:rsidP="009B12C0">
            <w:pPr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DF482B" w:rsidRPr="001B006F" w:rsidRDefault="00DF482B" w:rsidP="009B12C0">
            <w:pPr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DF482B" w:rsidRDefault="00DF482B" w:rsidP="009B12C0">
            <w:pPr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40</w:t>
            </w:r>
          </w:p>
          <w:p w:rsidR="00DF482B" w:rsidRPr="001B006F" w:rsidRDefault="00DF482B" w:rsidP="009B12C0">
            <w:pPr>
              <w:rPr>
                <w:rFonts w:ascii="Times New Roman" w:hAnsi="Times New Roman" w:cs="Times New Roman"/>
              </w:rPr>
            </w:pPr>
          </w:p>
        </w:tc>
      </w:tr>
      <w:tr w:rsidR="00DF482B" w:rsidTr="009B12C0">
        <w:tc>
          <w:tcPr>
            <w:tcW w:w="1606" w:type="dxa"/>
          </w:tcPr>
          <w:p w:rsidR="00DF482B" w:rsidRPr="001B006F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eastAsia="Calibri" w:hAnsi="Times New Roman" w:cs="Times New Roman"/>
                <w:caps/>
                <w:sz w:val="20"/>
              </w:rPr>
              <w:t>100%</w:t>
            </w:r>
          </w:p>
        </w:tc>
        <w:tc>
          <w:tcPr>
            <w:tcW w:w="3579" w:type="dxa"/>
          </w:tcPr>
          <w:p w:rsidR="00DF482B" w:rsidRDefault="00DF482B" w:rsidP="009B12C0"/>
        </w:tc>
        <w:tc>
          <w:tcPr>
            <w:tcW w:w="1537" w:type="dxa"/>
          </w:tcPr>
          <w:p w:rsidR="00DF482B" w:rsidRPr="001B006F" w:rsidRDefault="00DF482B" w:rsidP="009B12C0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9" w:type="dxa"/>
          </w:tcPr>
          <w:p w:rsidR="00DF482B" w:rsidRPr="001B006F" w:rsidRDefault="00DF482B" w:rsidP="009B12C0">
            <w:pPr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711" w:type="dxa"/>
          </w:tcPr>
          <w:p w:rsidR="00DF482B" w:rsidRPr="001B006F" w:rsidRDefault="00DF482B" w:rsidP="009B12C0">
            <w:pPr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71,53</w:t>
            </w:r>
          </w:p>
        </w:tc>
        <w:tc>
          <w:tcPr>
            <w:tcW w:w="711" w:type="dxa"/>
          </w:tcPr>
          <w:p w:rsidR="00DF482B" w:rsidRPr="001B006F" w:rsidRDefault="00DF482B" w:rsidP="009B12C0">
            <w:pPr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75,43</w:t>
            </w:r>
          </w:p>
        </w:tc>
      </w:tr>
    </w:tbl>
    <w:p w:rsidR="00DF482B" w:rsidRDefault="00DF482B" w:rsidP="00DF48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</w:t>
      </w:r>
      <w:proofErr w:type="spellStart"/>
      <w:r>
        <w:rPr>
          <w:rFonts w:ascii="Times New Roman" w:eastAsia="Calibri" w:hAnsi="Times New Roman" w:cs="Times New Roman"/>
        </w:rPr>
        <w:t>BaltLine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Globe</w:t>
      </w:r>
      <w:proofErr w:type="spellEnd"/>
      <w:r>
        <w:rPr>
          <w:rFonts w:ascii="Times New Roman" w:eastAsia="Calibri" w:hAnsi="Times New Roman" w:cs="Times New Roman"/>
        </w:rPr>
        <w:t>” tehniskais piedāvājums kritērijā “Tehniskais piedāvājums” atbilst 5 punktiem, jo pretendentam nav pietiekamas izpratnes par veicamajiem darbiem un līguma ietvaros sasniedzamajiem mērķiem un/vai tas nav iesniedzis atbilstošu būvuzraudzības realizācijas aprakstu: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Iesniegtais būvuzraudzības realizācijas apraksts ir vispārīgs – nav atbilstoši izstrādāts, jo apraksts sastāv no: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pārkopētas nolikuma tehniskās specifikācijas;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vispārīgu risku uzskaitījuma, kas nav piesaistīti konkrētajam objektam;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vispārīgiem darba un kvalitātes nodrošināšanas pasākumiem, kas nav piesaistīti konkrētajam objektam: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 pretendents Tehniskā nodrošinājuma sarakstā nav norādījis grunts, smiltis blīvuma mērierīces, līdz ar to tehniskajā piedāvājumā nav minētas darbības, kas saistītas ar zemes darbu pārbaudēm – grunts, smiltis, grants blīvuma noteikšanai būvobjektā;</w:t>
      </w:r>
    </w:p>
    <w:p w:rsidR="00DF482B" w:rsidRDefault="00D25C7D" w:rsidP="00DF4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DF482B">
        <w:rPr>
          <w:rFonts w:ascii="Times New Roman" w:eastAsia="Calibri" w:hAnsi="Times New Roman" w:cs="Times New Roman"/>
        </w:rPr>
        <w:t>.2. pretendents Tehniskajā nodrošinājuma sarakstā nav norādījis grunts elastības moduļa mērierīces, līdz ar to tehniskajā piedāvājumā nav minētas darbības, kas saistītas ar zemes darbu pārbaudēm – grunts, smilts, grants, šķembu sablīvējuma noteikšanai būvobjektā.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3.3.pretendents Tehniskā nodrošinājuma sarakstā nav norādījis virsmas temperatūras mērierīces, līdz ar to tehniskajā piedāvājumā nav minētas darbības, kas saistītas ar asfaltbetona ieklāšanas temperatūras noteikšanai būvobjektā.</w:t>
      </w:r>
    </w:p>
    <w:p w:rsidR="00DF482B" w:rsidRPr="001039B1" w:rsidRDefault="00DF482B" w:rsidP="00D25C7D">
      <w:pPr>
        <w:pStyle w:val="StyleHeading1"/>
        <w:keepNext w:val="0"/>
        <w:widowControl w:val="0"/>
        <w:ind w:firstLine="720"/>
        <w:rPr>
          <w:rFonts w:eastAsia="Calibri"/>
          <w:b w:val="0"/>
          <w:sz w:val="22"/>
          <w:szCs w:val="22"/>
        </w:rPr>
      </w:pPr>
      <w:r w:rsidRPr="001039B1">
        <w:rPr>
          <w:rFonts w:eastAsia="Calibri"/>
          <w:b w:val="0"/>
          <w:sz w:val="22"/>
          <w:szCs w:val="22"/>
        </w:rPr>
        <w:t>SIA “Firma L4”</w:t>
      </w:r>
      <w:r w:rsidRPr="001039B1">
        <w:rPr>
          <w:rFonts w:eastAsia="Calibri"/>
          <w:b w:val="0"/>
          <w:caps w:val="0"/>
          <w:sz w:val="22"/>
          <w:szCs w:val="22"/>
        </w:rPr>
        <w:t xml:space="preserve"> Tehniskais piedāvājums  kritērijā “Tehniskais piedāvājums” atbilst 40 punktiem, jo pretendentam ir pilnīga izpratne par veicamajiem darbiem un Līguma ietvaros sasniedzamajiem mērķiem un tas iesniedzis pilnībā detalizētu būvuzraudzības realizācijas aprakstu. </w:t>
      </w:r>
    </w:p>
    <w:p w:rsidR="00DF482B" w:rsidRPr="001039B1" w:rsidRDefault="00DF482B" w:rsidP="00D25C7D">
      <w:pPr>
        <w:pStyle w:val="StyleHeading1"/>
        <w:keepNext w:val="0"/>
        <w:widowControl w:val="0"/>
        <w:ind w:firstLine="720"/>
        <w:jc w:val="both"/>
        <w:rPr>
          <w:rFonts w:eastAsia="Calibri"/>
          <w:sz w:val="22"/>
          <w:szCs w:val="22"/>
        </w:rPr>
      </w:pPr>
      <w:r w:rsidRPr="001039B1">
        <w:rPr>
          <w:rFonts w:eastAsia="Calibri"/>
          <w:b w:val="0"/>
          <w:sz w:val="22"/>
          <w:szCs w:val="22"/>
        </w:rPr>
        <w:t>SIA “JURĒVIČS UN PARTNERI”</w:t>
      </w:r>
      <w:r w:rsidRPr="001039B1">
        <w:rPr>
          <w:rFonts w:eastAsia="Calibri"/>
          <w:b w:val="0"/>
          <w:caps w:val="0"/>
          <w:sz w:val="22"/>
          <w:szCs w:val="22"/>
        </w:rPr>
        <w:t xml:space="preserve"> Tehniskais piedāvājums  kritērijā “Tehniskais piedāvājums” atbilst 40 punktiem, jo pretendentam ir pilnīga izpratne par veicamajiem darbiem un Līguma ietvaros sasniedzamajiem mērķiem un tas iesniedzis pilnībā detalizētu būvuzraudzības realizācijas aprakstu. </w:t>
      </w:r>
    </w:p>
    <w:p w:rsidR="00DF482B" w:rsidRPr="001039B1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3780"/>
        <w:gridCol w:w="1080"/>
      </w:tblGrid>
      <w:tr w:rsidR="00DF482B" w:rsidRPr="00665CDF" w:rsidTr="009B12C0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Skaitliskais vērtējums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Vieta </w:t>
            </w:r>
          </w:p>
        </w:tc>
      </w:tr>
      <w:tr w:rsidR="00DF482B" w:rsidRPr="00665CDF" w:rsidTr="009B12C0">
        <w:tc>
          <w:tcPr>
            <w:tcW w:w="4282" w:type="dxa"/>
            <w:shd w:val="clear" w:color="auto" w:fill="auto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BaltLine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Globe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 SIA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</w:tr>
      <w:tr w:rsidR="00DF482B" w:rsidRPr="00665CDF" w:rsidTr="009B12C0">
        <w:tc>
          <w:tcPr>
            <w:tcW w:w="4282" w:type="dxa"/>
            <w:shd w:val="clear" w:color="auto" w:fill="auto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lang w:eastAsia="lv-LV"/>
              </w:rPr>
              <w:t>SIA “Firma L4”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lang w:eastAsia="lv-LV"/>
              </w:rPr>
              <w:t>71,53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  <w:tr w:rsidR="00DF482B" w:rsidRPr="00665CDF" w:rsidTr="009B12C0">
        <w:tc>
          <w:tcPr>
            <w:tcW w:w="4282" w:type="dxa"/>
            <w:shd w:val="clear" w:color="auto" w:fill="auto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F2A73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SIA “JURĒVIČS UN PARTNERI”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75,43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2B" w:rsidRPr="00665CDF" w:rsidRDefault="00DF482B" w:rsidP="009B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>1</w:t>
            </w:r>
          </w:p>
        </w:tc>
      </w:tr>
    </w:tbl>
    <w:p w:rsidR="00D25C7D" w:rsidRDefault="00D25C7D" w:rsidP="00DF482B">
      <w:pPr>
        <w:spacing w:after="0" w:line="240" w:lineRule="auto"/>
        <w:ind w:left="113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F482B" w:rsidRPr="00677FCD" w:rsidRDefault="00D25C7D" w:rsidP="00D25C7D">
      <w:pPr>
        <w:spacing w:after="0" w:line="240" w:lineRule="auto"/>
        <w:ind w:left="113" w:firstLine="596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8.5.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r w:rsidR="00DF482B">
        <w:rPr>
          <w:rFonts w:ascii="Times New Roman" w:eastAsia="Times New Roman" w:hAnsi="Times New Roman" w:cs="Times New Roman"/>
          <w:b/>
          <w:lang w:eastAsia="lv-LV"/>
        </w:rPr>
        <w:t>.</w:t>
      </w:r>
      <w:r w:rsidR="00DF482B" w:rsidRPr="00677FCD">
        <w:rPr>
          <w:rFonts w:ascii="Times New Roman" w:eastAsia="Times New Roman" w:hAnsi="Times New Roman" w:cs="Times New Roman"/>
          <w:b/>
          <w:lang w:eastAsia="lv-LV"/>
        </w:rPr>
        <w:t>Lēmuma pieņemšana</w:t>
      </w:r>
    </w:p>
    <w:p w:rsidR="00DF482B" w:rsidRPr="00183CB4" w:rsidRDefault="00DF482B" w:rsidP="00DF48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77FCD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677FCD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677FCD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677FCD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677FCD">
        <w:rPr>
          <w:rFonts w:ascii="Times New Roman" w:eastAsia="Times New Roman" w:hAnsi="Times New Roman" w:cs="Times New Roman"/>
          <w:lang w:eastAsia="lv-LV"/>
        </w:rPr>
        <w:t>,</w:t>
      </w:r>
      <w:r w:rsidR="00D25C7D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D25C7D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677FCD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677FCD">
        <w:rPr>
          <w:rFonts w:ascii="Times New Roman" w:eastAsia="Times New Roman" w:hAnsi="Times New Roman" w:cs="Times New Roman"/>
          <w:lang w:eastAsia="lv-LV"/>
        </w:rPr>
        <w:t xml:space="preserve">) atklāti balsojot, ar 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Pr="00677FCD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saimnieciski izdevīgāko piedāvājumu ir iesniegusi SIA “</w:t>
      </w:r>
      <w:r>
        <w:rPr>
          <w:rFonts w:ascii="Times New Roman" w:eastAsia="Times New Roman" w:hAnsi="Times New Roman" w:cs="Times New Roman"/>
          <w:lang w:eastAsia="lv-LV"/>
        </w:rPr>
        <w:t>JURĒVIČS UN PARTNERI</w:t>
      </w:r>
      <w:r w:rsidRPr="00677FCD">
        <w:rPr>
          <w:rFonts w:ascii="Times New Roman" w:eastAsia="Times New Roman" w:hAnsi="Times New Roman" w:cs="Times New Roman"/>
          <w:lang w:eastAsia="lv-LV"/>
        </w:rPr>
        <w:t>”.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F482B" w:rsidRPr="00D25C7D" w:rsidRDefault="00DF482B" w:rsidP="00D25C7D">
      <w:pPr>
        <w:pStyle w:val="ListParagraph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</w:rPr>
      </w:pPr>
      <w:r w:rsidRPr="00D25C7D">
        <w:rPr>
          <w:rFonts w:ascii="Times New Roman" w:eastAsia="Calibri" w:hAnsi="Times New Roman" w:cs="Times New Roman"/>
          <w:b/>
        </w:rPr>
        <w:t xml:space="preserve">PIL 8². panta piektās daļas </w:t>
      </w:r>
      <w:r w:rsidR="00851B2E">
        <w:rPr>
          <w:rFonts w:ascii="Times New Roman" w:eastAsia="Calibri" w:hAnsi="Times New Roman" w:cs="Times New Roman"/>
          <w:b/>
        </w:rPr>
        <w:t xml:space="preserve">1., </w:t>
      </w:r>
      <w:r w:rsidRPr="00D25C7D">
        <w:rPr>
          <w:rFonts w:ascii="Times New Roman" w:eastAsia="Calibri" w:hAnsi="Times New Roman" w:cs="Times New Roman"/>
          <w:b/>
        </w:rPr>
        <w:t>2. un 3.punktā minēto apstākļu pārbaude:</w:t>
      </w:r>
    </w:p>
    <w:p w:rsidR="00DF482B" w:rsidRDefault="00DF482B" w:rsidP="00DF482B">
      <w:pPr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Pasūtītājs nekonstatēja</w:t>
      </w:r>
      <w:r w:rsidR="00D25C7D">
        <w:rPr>
          <w:rFonts w:ascii="Times New Roman" w:eastAsia="Calibri" w:hAnsi="Times New Roman" w:cs="Times New Roman"/>
        </w:rPr>
        <w:t xml:space="preserve"> PIL 8². panta piektās daļas 1., </w:t>
      </w:r>
      <w:r>
        <w:rPr>
          <w:rFonts w:ascii="Times New Roman" w:eastAsia="Calibri" w:hAnsi="Times New Roman" w:cs="Times New Roman"/>
        </w:rPr>
        <w:t>2.</w:t>
      </w:r>
      <w:r w:rsidR="00D25C7D">
        <w:rPr>
          <w:rFonts w:ascii="Times New Roman" w:eastAsia="Calibri" w:hAnsi="Times New Roman" w:cs="Times New Roman"/>
        </w:rPr>
        <w:t xml:space="preserve"> un 3.</w:t>
      </w:r>
      <w:r w:rsidRPr="001903FA">
        <w:rPr>
          <w:rFonts w:ascii="Times New Roman" w:eastAsia="Calibri" w:hAnsi="Times New Roman" w:cs="Times New Roman"/>
        </w:rPr>
        <w:t>punktā minētos apstākļus, jo saskaņā ar PIL 8². panta septīto daļu</w:t>
      </w:r>
      <w:r>
        <w:rPr>
          <w:rFonts w:ascii="Times New Roman" w:eastAsia="Calibri" w:hAnsi="Times New Roman" w:cs="Times New Roman"/>
        </w:rPr>
        <w:t xml:space="preserve"> Iepirkumu komisija pārbaudīja “</w:t>
      </w:r>
      <w:proofErr w:type="spellStart"/>
      <w:r>
        <w:rPr>
          <w:rFonts w:ascii="Times New Roman" w:eastAsia="Calibri" w:hAnsi="Times New Roman" w:cs="Times New Roman"/>
        </w:rPr>
        <w:t>BaltLine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Globe</w:t>
      </w:r>
      <w:proofErr w:type="spellEnd"/>
      <w:r w:rsidRPr="001903FA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SIA</w:t>
      </w:r>
      <w:r w:rsidRPr="001903FA">
        <w:rPr>
          <w:rFonts w:ascii="Times New Roman" w:eastAsia="Calibri" w:hAnsi="Times New Roman" w:cs="Times New Roman"/>
        </w:rPr>
        <w:t>, Sabiedrības ar ie</w:t>
      </w:r>
      <w:r>
        <w:rPr>
          <w:rFonts w:ascii="Times New Roman" w:eastAsia="Calibri" w:hAnsi="Times New Roman" w:cs="Times New Roman"/>
        </w:rPr>
        <w:t>robežotu atbildību “Firma L4</w:t>
      </w:r>
      <w:r w:rsidRPr="001903FA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un </w:t>
      </w:r>
      <w:r w:rsidRPr="001903FA">
        <w:rPr>
          <w:rFonts w:ascii="Times New Roman" w:eastAsia="Calibri" w:hAnsi="Times New Roman" w:cs="Times New Roman"/>
        </w:rPr>
        <w:t xml:space="preserve"> Sabiedrības ar ie</w:t>
      </w:r>
      <w:r>
        <w:rPr>
          <w:rFonts w:ascii="Times New Roman" w:eastAsia="Calibri" w:hAnsi="Times New Roman" w:cs="Times New Roman"/>
        </w:rPr>
        <w:t>robežotu atbildību</w:t>
      </w:r>
      <w:r w:rsidRPr="001903F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“JURĒVIČS UN PARTNERI</w:t>
      </w:r>
      <w:r w:rsidRPr="001903FA">
        <w:rPr>
          <w:rFonts w:ascii="Times New Roman" w:eastAsia="Calibri" w:hAnsi="Times New Roman" w:cs="Times New Roman"/>
        </w:rPr>
        <w:t>” datus, izmantojot Ministru kabineta noteikto informācijas sistēmu, Ministru kabineta noteiktajā kārtībā iegūstot informāciju</w:t>
      </w:r>
      <w:r w:rsidR="00D25C7D">
        <w:rPr>
          <w:rFonts w:ascii="Times New Roman" w:eastAsia="Calibri" w:hAnsi="Times New Roman" w:cs="Times New Roman"/>
        </w:rPr>
        <w:t xml:space="preserve"> </w:t>
      </w:r>
      <w:r w:rsidRPr="001903FA">
        <w:rPr>
          <w:rFonts w:ascii="Times New Roman" w:eastAsia="Calibri" w:hAnsi="Times New Roman" w:cs="Times New Roman"/>
        </w:rPr>
        <w:t>par PIL 8². panta piektās daļas 2.</w:t>
      </w:r>
      <w:r w:rsidR="00D25C7D">
        <w:rPr>
          <w:rFonts w:ascii="Times New Roman" w:eastAsia="Calibri" w:hAnsi="Times New Roman" w:cs="Times New Roman"/>
        </w:rPr>
        <w:t xml:space="preserve"> un 3.</w:t>
      </w:r>
      <w:r w:rsidRPr="001903FA">
        <w:rPr>
          <w:rFonts w:ascii="Times New Roman" w:eastAsia="Calibri" w:hAnsi="Times New Roman" w:cs="Times New Roman"/>
        </w:rPr>
        <w:t xml:space="preserve"> punktā minēto faktu – no Valsts ieņēmumu dienesta</w:t>
      </w:r>
      <w:r w:rsidR="00D25C7D">
        <w:rPr>
          <w:rFonts w:ascii="Times New Roman" w:eastAsia="Calibri" w:hAnsi="Times New Roman" w:cs="Times New Roman"/>
        </w:rPr>
        <w:t xml:space="preserve">, savukārt </w:t>
      </w:r>
      <w:r w:rsidR="00D25C7D" w:rsidRPr="00F108B5">
        <w:rPr>
          <w:rFonts w:ascii="Times New Roman" w:eastAsia="Calibri" w:hAnsi="Times New Roman" w:cs="Times New Roman"/>
        </w:rPr>
        <w:t>par PIL 8². panta piektās daļas 1. punktā minētajiem faktiem – no Uzņēmumu reģistra</w:t>
      </w:r>
      <w:r w:rsidRPr="001903FA">
        <w:rPr>
          <w:rFonts w:ascii="Times New Roman" w:eastAsia="Calibri" w:hAnsi="Times New Roman" w:cs="Times New Roman"/>
        </w:rPr>
        <w:t>.</w:t>
      </w:r>
    </w:p>
    <w:p w:rsidR="00DF482B" w:rsidRP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  <w:u w:val="single"/>
        </w:rPr>
        <w:t xml:space="preserve">Pretendenta  </w:t>
      </w:r>
      <w:r w:rsidRPr="001903FA">
        <w:rPr>
          <w:rFonts w:ascii="Times New Roman" w:eastAsia="Calibri" w:hAnsi="Times New Roman" w:cs="Times New Roman"/>
        </w:rPr>
        <w:t>„</w:t>
      </w:r>
      <w:proofErr w:type="spellStart"/>
      <w:r>
        <w:rPr>
          <w:rFonts w:ascii="Times New Roman" w:eastAsia="Calibri" w:hAnsi="Times New Roman" w:cs="Times New Roman"/>
        </w:rPr>
        <w:t>BaltLine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Globe</w:t>
      </w:r>
      <w:proofErr w:type="spellEnd"/>
      <w:r w:rsidRPr="001903FA">
        <w:rPr>
          <w:rFonts w:ascii="Times New Roman" w:eastAsia="Calibri" w:hAnsi="Times New Roman" w:cs="Times New Roman"/>
        </w:rPr>
        <w:t xml:space="preserve">”  </w:t>
      </w:r>
      <w:r w:rsidRPr="00856898">
        <w:rPr>
          <w:rFonts w:ascii="Times New Roman" w:eastAsia="Calibri" w:hAnsi="Times New Roman" w:cs="Times New Roman"/>
        </w:rPr>
        <w:t>SIA</w:t>
      </w:r>
    </w:p>
    <w:p w:rsid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30927623-4885773 uz 16</w:t>
      </w:r>
      <w:r w:rsidRPr="001903F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06.</w:t>
      </w:r>
      <w:r w:rsidRPr="001903FA">
        <w:rPr>
          <w:rFonts w:ascii="Times New Roman" w:eastAsia="Calibri" w:hAnsi="Times New Roman" w:cs="Times New Roman"/>
        </w:rPr>
        <w:t>2016;</w:t>
      </w:r>
    </w:p>
    <w:p w:rsidR="00DF482B" w:rsidRPr="001903FA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E-izziņa par likvidācijas, maksātnespējas un saimnieciskās darbības apturēšanas procesiem URA Nr. 30927866-4887136 uz 29.06.2016.</w:t>
      </w:r>
    </w:p>
    <w:p w:rsidR="00DF482B" w:rsidRPr="001903FA" w:rsidRDefault="00DF482B" w:rsidP="00851B2E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1903FA">
        <w:rPr>
          <w:rFonts w:ascii="Times New Roman" w:eastAsia="Calibri" w:hAnsi="Times New Roman" w:cs="Times New Roman"/>
          <w:u w:val="single"/>
        </w:rPr>
        <w:t xml:space="preserve">Pretendenta  </w:t>
      </w:r>
      <w:r w:rsidRPr="001903FA">
        <w:rPr>
          <w:rFonts w:ascii="Times New Roman" w:eastAsia="Calibri" w:hAnsi="Times New Roman" w:cs="Times New Roman"/>
        </w:rPr>
        <w:t>Sabiedrības ar ierobežotu atbildību  „</w:t>
      </w:r>
      <w:r>
        <w:rPr>
          <w:rFonts w:ascii="Times New Roman" w:eastAsia="Calibri" w:hAnsi="Times New Roman" w:cs="Times New Roman"/>
        </w:rPr>
        <w:t>Firma L4</w:t>
      </w:r>
      <w:r w:rsidRPr="001903FA">
        <w:rPr>
          <w:rFonts w:ascii="Times New Roman" w:eastAsia="Calibri" w:hAnsi="Times New Roman" w:cs="Times New Roman"/>
        </w:rPr>
        <w:t xml:space="preserve">” </w:t>
      </w:r>
      <w:r w:rsidRPr="001903FA">
        <w:rPr>
          <w:rFonts w:ascii="Times New Roman" w:eastAsia="Calibri" w:hAnsi="Times New Roman" w:cs="Times New Roman"/>
          <w:u w:val="single"/>
        </w:rPr>
        <w:t xml:space="preserve"> </w:t>
      </w:r>
    </w:p>
    <w:p w:rsidR="00DF482B" w:rsidRPr="001903FA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30927623-4885775 uz 16</w:t>
      </w:r>
      <w:r w:rsidRPr="001903F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06.</w:t>
      </w:r>
      <w:r w:rsidRPr="001903FA">
        <w:rPr>
          <w:rFonts w:ascii="Times New Roman" w:eastAsia="Calibri" w:hAnsi="Times New Roman" w:cs="Times New Roman"/>
        </w:rPr>
        <w:t>2016;</w:t>
      </w:r>
    </w:p>
    <w:p w:rsidR="00DF482B" w:rsidRPr="001903FA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E-izziņa par likvidācijas, maksātnespējas un saimnieciskās darbības apturēšanas procesiem URA Nr. 30927866-4887137 uz 29.06.2016.</w:t>
      </w:r>
    </w:p>
    <w:p w:rsidR="00DF482B" w:rsidRPr="001903FA" w:rsidRDefault="00DF482B" w:rsidP="00851B2E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1903FA">
        <w:rPr>
          <w:rFonts w:ascii="Times New Roman" w:eastAsia="Calibri" w:hAnsi="Times New Roman" w:cs="Times New Roman"/>
          <w:u w:val="single"/>
        </w:rPr>
        <w:t xml:space="preserve">Pretendenta  </w:t>
      </w:r>
      <w:r w:rsidRPr="001903FA">
        <w:rPr>
          <w:rFonts w:ascii="Times New Roman" w:eastAsia="Calibri" w:hAnsi="Times New Roman" w:cs="Times New Roman"/>
        </w:rPr>
        <w:t xml:space="preserve">Sabiedrības ar ierobežotu atbildību  </w:t>
      </w:r>
      <w:r>
        <w:rPr>
          <w:rFonts w:ascii="Times New Roman" w:eastAsia="Calibri" w:hAnsi="Times New Roman" w:cs="Times New Roman"/>
        </w:rPr>
        <w:t>“JURĒVIČS UN PARTNERI</w:t>
      </w:r>
      <w:r w:rsidRPr="001903FA">
        <w:rPr>
          <w:rFonts w:ascii="Times New Roman" w:eastAsia="Calibri" w:hAnsi="Times New Roman" w:cs="Times New Roman"/>
        </w:rPr>
        <w:t>”</w:t>
      </w:r>
    </w:p>
    <w:p w:rsidR="00DF482B" w:rsidRPr="001903FA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30927623-4885774 uz 16.06</w:t>
      </w:r>
      <w:r w:rsidRPr="001903FA">
        <w:rPr>
          <w:rFonts w:ascii="Times New Roman" w:eastAsia="Calibri" w:hAnsi="Times New Roman" w:cs="Times New Roman"/>
        </w:rPr>
        <w:t>.2016.</w:t>
      </w:r>
    </w:p>
    <w:p w:rsidR="00DF482B" w:rsidRPr="001903FA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E-izziņa par likvidācijas, maksātnespējas un saimnieciskās darbības apturēšanas procesiem URA Nr. 30927866-4887138 uz 29.06.2016.</w:t>
      </w:r>
    </w:p>
    <w:p w:rsidR="00DF482B" w:rsidRDefault="00DF482B" w:rsidP="00DF482B">
      <w:pPr>
        <w:spacing w:after="0"/>
        <w:rPr>
          <w:rFonts w:ascii="Times New Roman" w:eastAsia="Calibri" w:hAnsi="Times New Roman" w:cs="Times New Roman"/>
        </w:rPr>
      </w:pPr>
    </w:p>
    <w:p w:rsid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Pasūtītājs nekonstatēja</w:t>
      </w:r>
      <w:r>
        <w:rPr>
          <w:rFonts w:ascii="Times New Roman" w:eastAsia="Calibri" w:hAnsi="Times New Roman" w:cs="Times New Roman"/>
        </w:rPr>
        <w:t xml:space="preserve"> PIL 8². panta piektās daļas 3.</w:t>
      </w:r>
      <w:r w:rsidRPr="001903FA">
        <w:rPr>
          <w:rFonts w:ascii="Times New Roman" w:eastAsia="Calibri" w:hAnsi="Times New Roman" w:cs="Times New Roman"/>
        </w:rPr>
        <w:t>punktā minētos apstākļus</w:t>
      </w:r>
      <w:r>
        <w:rPr>
          <w:rFonts w:ascii="Times New Roman" w:eastAsia="Calibri" w:hAnsi="Times New Roman" w:cs="Times New Roman"/>
        </w:rPr>
        <w:t xml:space="preserve"> par šādām personām Gunārs </w:t>
      </w:r>
      <w:proofErr w:type="spellStart"/>
      <w:r>
        <w:rPr>
          <w:rFonts w:ascii="Times New Roman" w:eastAsia="Calibri" w:hAnsi="Times New Roman" w:cs="Times New Roman"/>
        </w:rPr>
        <w:t>Balka</w:t>
      </w:r>
      <w:proofErr w:type="spellEnd"/>
      <w:r>
        <w:rPr>
          <w:rFonts w:ascii="Times New Roman" w:eastAsia="Calibri" w:hAnsi="Times New Roman" w:cs="Times New Roman"/>
        </w:rPr>
        <w:t>, Arnis Heinrihsons</w:t>
      </w:r>
      <w:r w:rsidRPr="001903FA">
        <w:rPr>
          <w:rFonts w:ascii="Times New Roman" w:eastAsia="Calibri" w:hAnsi="Times New Roman" w:cs="Times New Roman"/>
        </w:rPr>
        <w:t>, jo saskaņā ar PIL 8². panta septīto daļu</w:t>
      </w:r>
      <w:r>
        <w:rPr>
          <w:rFonts w:ascii="Times New Roman" w:eastAsia="Calibri" w:hAnsi="Times New Roman" w:cs="Times New Roman"/>
        </w:rPr>
        <w:t xml:space="preserve"> Iepirkumu komisija pārbaudīja personas uz kura iespējām pretendents balstās:</w:t>
      </w:r>
    </w:p>
    <w:p w:rsidR="00DF482B" w:rsidRDefault="00DF482B" w:rsidP="00DF482B">
      <w:pPr>
        <w:spacing w:after="0"/>
        <w:rPr>
          <w:rFonts w:ascii="Times New Roman" w:eastAsia="Calibri" w:hAnsi="Times New Roman" w:cs="Times New Roman"/>
        </w:rPr>
      </w:pPr>
    </w:p>
    <w:p w:rsid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Gunārs </w:t>
      </w:r>
      <w:proofErr w:type="spellStart"/>
      <w:r>
        <w:rPr>
          <w:rFonts w:ascii="Times New Roman" w:eastAsia="Calibri" w:hAnsi="Times New Roman" w:cs="Times New Roman"/>
        </w:rPr>
        <w:t>Balka</w:t>
      </w:r>
      <w:proofErr w:type="spellEnd"/>
      <w:r>
        <w:rPr>
          <w:rFonts w:ascii="Times New Roman" w:eastAsia="Calibri" w:hAnsi="Times New Roman" w:cs="Times New Roman"/>
        </w:rPr>
        <w:t>:</w:t>
      </w:r>
    </w:p>
    <w:p w:rsid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30927879-48871713 uz 16</w:t>
      </w:r>
      <w:r w:rsidRPr="001903F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06.</w:t>
      </w:r>
      <w:r w:rsidRPr="001903FA">
        <w:rPr>
          <w:rFonts w:ascii="Times New Roman" w:eastAsia="Calibri" w:hAnsi="Times New Roman" w:cs="Times New Roman"/>
        </w:rPr>
        <w:t>2016;</w:t>
      </w:r>
    </w:p>
    <w:p w:rsidR="00DF482B" w:rsidRPr="001903FA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E-izziņa par likvidācijas, maksātnespējas un saimnieciskās darbības apturēšanas procesiem URA Nr. </w:t>
      </w:r>
      <w:r w:rsidRPr="008B73AF">
        <w:rPr>
          <w:rFonts w:ascii="Times New Roman" w:eastAsia="Calibri" w:hAnsi="Times New Roman" w:cs="Times New Roman"/>
        </w:rPr>
        <w:t>30927866-4887140 uz 29</w:t>
      </w:r>
      <w:r>
        <w:rPr>
          <w:rFonts w:ascii="Times New Roman" w:eastAsia="Calibri" w:hAnsi="Times New Roman" w:cs="Times New Roman"/>
        </w:rPr>
        <w:t>.06.2016.</w:t>
      </w:r>
    </w:p>
    <w:p w:rsid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Arnis Heinrihsons</w:t>
      </w:r>
    </w:p>
    <w:p w:rsid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30927879-48871713 uz 16</w:t>
      </w:r>
      <w:r w:rsidRPr="001903F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06.</w:t>
      </w:r>
      <w:r w:rsidRPr="001903FA">
        <w:rPr>
          <w:rFonts w:ascii="Times New Roman" w:eastAsia="Calibri" w:hAnsi="Times New Roman" w:cs="Times New Roman"/>
        </w:rPr>
        <w:t>2016;</w:t>
      </w:r>
    </w:p>
    <w:p w:rsidR="00DF482B" w:rsidRPr="001903FA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E-izziņa par likvidācijas, maksātnespējas un saimnieciskās darbības apturēšanas procesiem URA Nr. </w:t>
      </w:r>
      <w:r w:rsidRPr="00D6214B">
        <w:rPr>
          <w:rFonts w:ascii="Times New Roman" w:eastAsia="Calibri" w:hAnsi="Times New Roman" w:cs="Times New Roman"/>
        </w:rPr>
        <w:t>30927866-4887142 uz</w:t>
      </w:r>
      <w:r>
        <w:rPr>
          <w:rFonts w:ascii="Times New Roman" w:eastAsia="Calibri" w:hAnsi="Times New Roman" w:cs="Times New Roman"/>
        </w:rPr>
        <w:t xml:space="preserve"> 29.06.2016.</w:t>
      </w:r>
    </w:p>
    <w:p w:rsidR="00DF482B" w:rsidRDefault="00DF482B" w:rsidP="00DF482B">
      <w:pPr>
        <w:spacing w:after="0"/>
        <w:rPr>
          <w:rFonts w:ascii="Times New Roman" w:eastAsia="Calibri" w:hAnsi="Times New Roman" w:cs="Times New Roman"/>
        </w:rPr>
      </w:pPr>
    </w:p>
    <w:p w:rsid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Pasūtītājs </w:t>
      </w:r>
      <w:r w:rsidRPr="001903FA">
        <w:rPr>
          <w:rFonts w:ascii="Times New Roman" w:eastAsia="Calibri" w:hAnsi="Times New Roman" w:cs="Times New Roman"/>
        </w:rPr>
        <w:t>konstatēja</w:t>
      </w:r>
      <w:r>
        <w:rPr>
          <w:rFonts w:ascii="Times New Roman" w:eastAsia="Calibri" w:hAnsi="Times New Roman" w:cs="Times New Roman"/>
        </w:rPr>
        <w:t xml:space="preserve"> PIL 8². panta piektās daļas 3.</w:t>
      </w:r>
      <w:r w:rsidRPr="001903FA">
        <w:rPr>
          <w:rFonts w:ascii="Times New Roman" w:eastAsia="Calibri" w:hAnsi="Times New Roman" w:cs="Times New Roman"/>
        </w:rPr>
        <w:t>punktā minētos apstākļus</w:t>
      </w:r>
      <w:r>
        <w:rPr>
          <w:rFonts w:ascii="Times New Roman" w:eastAsia="Calibri" w:hAnsi="Times New Roman" w:cs="Times New Roman"/>
        </w:rPr>
        <w:t xml:space="preserve"> par Anitu </w:t>
      </w:r>
      <w:proofErr w:type="spellStart"/>
      <w:r>
        <w:rPr>
          <w:rFonts w:ascii="Times New Roman" w:eastAsia="Calibri" w:hAnsi="Times New Roman" w:cs="Times New Roman"/>
        </w:rPr>
        <w:t>Bukavu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r w:rsidRPr="001903FA">
        <w:rPr>
          <w:rFonts w:ascii="Times New Roman" w:eastAsia="Calibri" w:hAnsi="Times New Roman" w:cs="Times New Roman"/>
        </w:rPr>
        <w:t>jo saskaņā ar PIL 8². panta septīto daļu</w:t>
      </w:r>
      <w:r>
        <w:rPr>
          <w:rFonts w:ascii="Times New Roman" w:eastAsia="Calibri" w:hAnsi="Times New Roman" w:cs="Times New Roman"/>
        </w:rPr>
        <w:t xml:space="preserve"> Iepirkumu komisija pārbaudīja personas uz kura iespējām pretendents balstās:</w:t>
      </w:r>
    </w:p>
    <w:p w:rsidR="00851B2E" w:rsidRDefault="00851B2E" w:rsidP="00851B2E">
      <w:pPr>
        <w:spacing w:after="0"/>
        <w:jc w:val="both"/>
        <w:rPr>
          <w:rFonts w:ascii="Times New Roman" w:eastAsia="Calibri" w:hAnsi="Times New Roman" w:cs="Times New Roman"/>
        </w:rPr>
      </w:pPr>
    </w:p>
    <w:p w:rsid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Anita </w:t>
      </w:r>
      <w:proofErr w:type="spellStart"/>
      <w:r>
        <w:rPr>
          <w:rFonts w:ascii="Times New Roman" w:eastAsia="Calibri" w:hAnsi="Times New Roman" w:cs="Times New Roman"/>
        </w:rPr>
        <w:t>Bukava</w:t>
      </w:r>
      <w:proofErr w:type="spellEnd"/>
    </w:p>
    <w:p w:rsid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30927879-4887175 uz 16</w:t>
      </w:r>
      <w:r w:rsidRPr="001903F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06.</w:t>
      </w:r>
      <w:r w:rsidRPr="001903FA">
        <w:rPr>
          <w:rFonts w:ascii="Times New Roman" w:eastAsia="Calibri" w:hAnsi="Times New Roman" w:cs="Times New Roman"/>
        </w:rPr>
        <w:t>2016;</w:t>
      </w:r>
    </w:p>
    <w:p w:rsidR="00DF482B" w:rsidRPr="00DF482B" w:rsidRDefault="00DF482B" w:rsidP="00851B2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E-izziņa par likvidācijas, maksātnespējas un saimnieciskās darbības apturēšanas procesiem URA Nr. 30927866-4887144</w:t>
      </w:r>
      <w:r w:rsidRPr="00D6214B">
        <w:rPr>
          <w:rFonts w:ascii="Times New Roman" w:eastAsia="Calibri" w:hAnsi="Times New Roman" w:cs="Times New Roman"/>
        </w:rPr>
        <w:t xml:space="preserve"> uz</w:t>
      </w:r>
      <w:r>
        <w:rPr>
          <w:rFonts w:ascii="Times New Roman" w:eastAsia="Calibri" w:hAnsi="Times New Roman" w:cs="Times New Roman"/>
        </w:rPr>
        <w:t xml:space="preserve"> 29.06.2016.</w:t>
      </w:r>
    </w:p>
    <w:p w:rsidR="00DF482B" w:rsidRDefault="00DF482B" w:rsidP="00721D36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851B2E" w:rsidRPr="00851B2E" w:rsidRDefault="00721D36" w:rsidP="00851B2E">
      <w:pPr>
        <w:pStyle w:val="ListParagraph"/>
        <w:numPr>
          <w:ilvl w:val="1"/>
          <w:numId w:val="9"/>
        </w:numPr>
        <w:ind w:right="468" w:firstLine="349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51B2E">
        <w:rPr>
          <w:rFonts w:ascii="Times New Roman" w:eastAsia="Times New Roman" w:hAnsi="Times New Roman" w:cs="Times New Roman"/>
          <w:b/>
          <w:lang w:eastAsia="lv-LV"/>
        </w:rPr>
        <w:t>PIL 8². panta piektās daļas 1.</w:t>
      </w:r>
      <w:r w:rsidR="00851B2E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851B2E">
        <w:rPr>
          <w:rFonts w:ascii="Times New Roman" w:eastAsia="Times New Roman" w:hAnsi="Times New Roman" w:cs="Times New Roman"/>
          <w:b/>
          <w:lang w:eastAsia="lv-LV"/>
        </w:rPr>
        <w:t>un 2.punktā minēto apstākļu pārbaude pretendentam, kuram tiek piešķirtas līguma slēgšanas tiesības:</w:t>
      </w:r>
    </w:p>
    <w:p w:rsidR="00DF482B" w:rsidRPr="00DF482B" w:rsidRDefault="00DF482B" w:rsidP="00DF482B">
      <w:pPr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lastRenderedPageBreak/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 w:rsidR="00851B2E">
        <w:rPr>
          <w:rFonts w:ascii="Times New Roman" w:eastAsia="Times New Roman" w:hAnsi="Times New Roman" w:cs="Times New Roman"/>
          <w:lang w:eastAsia="lv-LV"/>
        </w:rPr>
        <w:t xml:space="preserve"> (SIA “</w:t>
      </w:r>
      <w:proofErr w:type="spellStart"/>
      <w:r w:rsidR="00851B2E">
        <w:rPr>
          <w:rFonts w:ascii="Times New Roman" w:eastAsia="Times New Roman" w:hAnsi="Times New Roman" w:cs="Times New Roman"/>
          <w:lang w:eastAsia="lv-LV"/>
        </w:rPr>
        <w:t>Jurēvičs</w:t>
      </w:r>
      <w:proofErr w:type="spellEnd"/>
      <w:r w:rsidR="00851B2E">
        <w:rPr>
          <w:rFonts w:ascii="Times New Roman" w:eastAsia="Times New Roman" w:hAnsi="Times New Roman" w:cs="Times New Roman"/>
          <w:lang w:eastAsia="lv-LV"/>
        </w:rPr>
        <w:t xml:space="preserve"> un partneri”)</w:t>
      </w:r>
      <w:r w:rsidRPr="00F108B5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DF482B" w:rsidRPr="00F108B5" w:rsidRDefault="00DF482B" w:rsidP="00DF482B">
      <w:pPr>
        <w:numPr>
          <w:ilvl w:val="0"/>
          <w:numId w:val="3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DF482B" w:rsidRPr="00F108B5" w:rsidRDefault="00DF482B" w:rsidP="00DF482B">
      <w:pPr>
        <w:numPr>
          <w:ilvl w:val="0"/>
          <w:numId w:val="3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DF482B" w:rsidRPr="00FC6E98" w:rsidRDefault="00DF482B" w:rsidP="00DF482B">
      <w:pPr>
        <w:spacing w:after="0" w:line="240" w:lineRule="auto"/>
        <w:ind w:left="113" w:right="468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DF482B" w:rsidRPr="00F108B5" w:rsidRDefault="00DF482B" w:rsidP="00DF482B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E-izziņas par nodokļu nomaksa</w:t>
      </w:r>
      <w:r>
        <w:rPr>
          <w:rFonts w:ascii="Times New Roman" w:eastAsia="Times New Roman" w:hAnsi="Times New Roman" w:cs="Times New Roman"/>
          <w:lang w:eastAsia="lv-LV"/>
        </w:rPr>
        <w:t>s statusu NO Nr. 30936809-4970172 uz 18.07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.2016.;   </w:t>
      </w:r>
    </w:p>
    <w:p w:rsidR="00DF482B" w:rsidRDefault="00DF482B" w:rsidP="00DF482B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E-izziņa par likvidācijas, maksātnespējas un saimnieciskās darbības apturēšanas procesiem URA Nr.</w:t>
      </w:r>
      <w:r>
        <w:rPr>
          <w:rFonts w:ascii="Times New Roman" w:eastAsia="Times New Roman" w:hAnsi="Times New Roman" w:cs="Times New Roman"/>
          <w:lang w:eastAsia="lv-LV"/>
        </w:rPr>
        <w:t xml:space="preserve"> 30936809-4970171 </w:t>
      </w:r>
      <w:r w:rsidRPr="00F108B5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z 18</w:t>
      </w:r>
      <w:r w:rsidRPr="00F108B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07.</w:t>
      </w:r>
      <w:r w:rsidRPr="00F108B5">
        <w:rPr>
          <w:rFonts w:ascii="Times New Roman" w:eastAsia="Calibri" w:hAnsi="Times New Roman" w:cs="Times New Roman"/>
        </w:rPr>
        <w:t>2016.</w:t>
      </w:r>
    </w:p>
    <w:p w:rsidR="00851B2E" w:rsidRPr="00F108B5" w:rsidRDefault="00851B2E" w:rsidP="00DF482B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</w:p>
    <w:p w:rsidR="00DF482B" w:rsidRPr="00DF482B" w:rsidRDefault="00DF482B" w:rsidP="00851B2E">
      <w:pPr>
        <w:pStyle w:val="ListParagraph"/>
        <w:numPr>
          <w:ilvl w:val="0"/>
          <w:numId w:val="9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F482B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DF482B" w:rsidRPr="00F108B5" w:rsidRDefault="00DF482B" w:rsidP="00DF482B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Calibri" w:hAnsi="Times New Roman" w:cs="Times New Roman"/>
        </w:rPr>
        <w:t>Pamatojoties uz iepriekš minēto, Ie</w:t>
      </w:r>
      <w:r>
        <w:rPr>
          <w:rFonts w:ascii="Times New Roman" w:eastAsia="Calibri" w:hAnsi="Times New Roman" w:cs="Times New Roman"/>
        </w:rPr>
        <w:t>pirkumu komisija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r w:rsidR="00851B2E">
        <w:rPr>
          <w:rFonts w:ascii="Times New Roman" w:eastAsia="Calibri" w:hAnsi="Times New Roman" w:cs="Times New Roman"/>
        </w:rPr>
        <w:t xml:space="preserve"> </w:t>
      </w:r>
      <w:proofErr w:type="spellStart"/>
      <w:r w:rsidR="00851B2E"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>
        <w:rPr>
          <w:rFonts w:ascii="Times New Roman" w:eastAsia="Calibri" w:hAnsi="Times New Roman" w:cs="Times New Roman"/>
        </w:rPr>
        <w:t>atklāti balsojot, ar 3</w:t>
      </w:r>
      <w:r w:rsidRPr="00F108B5">
        <w:rPr>
          <w:rFonts w:ascii="Times New Roman" w:eastAsia="Calibri" w:hAnsi="Times New Roman" w:cs="Times New Roman"/>
        </w:rPr>
        <w:t xml:space="preserve"> balsīm „par”, „pret” – nav, „atturas” – nav, nolemj, ka  </w:t>
      </w:r>
      <w:r>
        <w:rPr>
          <w:rFonts w:ascii="Times New Roman" w:eastAsia="Calibri" w:hAnsi="Times New Roman" w:cs="Times New Roman"/>
        </w:rPr>
        <w:t xml:space="preserve">būvuzraudzības pakalpojumus Televīzijas ielas pārbūvei posmā no </w:t>
      </w:r>
      <w:proofErr w:type="spellStart"/>
      <w:r>
        <w:rPr>
          <w:rFonts w:ascii="Times New Roman" w:eastAsia="Calibri" w:hAnsi="Times New Roman" w:cs="Times New Roman"/>
        </w:rPr>
        <w:t>Līvkalna</w:t>
      </w:r>
      <w:proofErr w:type="spellEnd"/>
      <w:r>
        <w:rPr>
          <w:rFonts w:ascii="Times New Roman" w:eastAsia="Calibri" w:hAnsi="Times New Roman" w:cs="Times New Roman"/>
        </w:rPr>
        <w:t xml:space="preserve"> ielas līdz Dārza ielai, Siguldā </w:t>
      </w:r>
      <w:r w:rsidRPr="00F108B5">
        <w:rPr>
          <w:rFonts w:ascii="Times New Roman" w:eastAsia="Calibri" w:hAnsi="Times New Roman" w:cs="Times New Roman"/>
        </w:rPr>
        <w:t>veiks</w:t>
      </w:r>
      <w:r w:rsidR="00851B2E"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SIA </w:t>
      </w:r>
      <w:r w:rsidRPr="00863B5F">
        <w:rPr>
          <w:rFonts w:ascii="Times New Roman" w:eastAsia="Times New Roman" w:hAnsi="Times New Roman" w:cs="Times New Roman"/>
          <w:b/>
          <w:lang w:eastAsia="lv-LV"/>
        </w:rPr>
        <w:t>“JURĒVIČS UN PARTNERI”</w:t>
      </w:r>
      <w:r w:rsidRPr="00863B5F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 w:rsidR="00851B2E">
        <w:rPr>
          <w:rFonts w:ascii="Times New Roman" w:eastAsia="Calibri" w:hAnsi="Times New Roman" w:cs="Times New Roman"/>
        </w:rPr>
        <w:t xml:space="preserve"> un ir ar saimnieciski visizdevīgāko piedāvājumu</w:t>
      </w:r>
      <w:bookmarkStart w:id="0" w:name="_GoBack"/>
      <w:bookmarkEnd w:id="0"/>
      <w:r w:rsidRPr="00F108B5">
        <w:rPr>
          <w:rFonts w:ascii="Times New Roman" w:eastAsia="Calibri" w:hAnsi="Times New Roman" w:cs="Times New Roman"/>
        </w:rPr>
        <w:t xml:space="preserve">. 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21D36" w:rsidRPr="00851B2E" w:rsidRDefault="00721D36" w:rsidP="00851B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851B2E">
        <w:rPr>
          <w:rFonts w:ascii="Times New Roman" w:eastAsia="Times New Roman" w:hAnsi="Times New Roman" w:cs="Times New Roman"/>
          <w:b/>
          <w:bCs/>
          <w:lang w:eastAsia="lv-LV"/>
        </w:rPr>
        <w:t xml:space="preserve">Saņemtie pieprasījumi izskaidrot konkursa nolikumu, sniegtās atbildes: </w:t>
      </w:r>
    </w:p>
    <w:p w:rsidR="00721D36" w:rsidRPr="00E64874" w:rsidRDefault="00DF482B" w:rsidP="00721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2016.gada </w:t>
      </w:r>
      <w:r w:rsidR="00721D3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0.jūnijā</w:t>
      </w:r>
      <w:r w:rsidR="00721D36">
        <w:rPr>
          <w:rFonts w:ascii="Times New Roman" w:eastAsia="Times New Roman" w:hAnsi="Times New Roman" w:cs="Times New Roman"/>
        </w:rPr>
        <w:t xml:space="preserve"> tika saņemti jautājumi</w:t>
      </w:r>
      <w:r w:rsidR="00721D36" w:rsidRPr="00E64874">
        <w:rPr>
          <w:rFonts w:ascii="Times New Roman" w:eastAsia="Times New Roman" w:hAnsi="Times New Roman" w:cs="Times New Roman"/>
        </w:rPr>
        <w:t xml:space="preserve"> par </w:t>
      </w:r>
      <w:r w:rsidR="00721D36">
        <w:rPr>
          <w:rFonts w:ascii="Times New Roman" w:eastAsia="Times New Roman" w:hAnsi="Times New Roman" w:cs="Times New Roman"/>
        </w:rPr>
        <w:t xml:space="preserve">iepirkuma </w:t>
      </w:r>
      <w:r w:rsidR="00721D36" w:rsidRPr="00E64874">
        <w:rPr>
          <w:rFonts w:ascii="Times New Roman" w:eastAsia="Times New Roman" w:hAnsi="Times New Roman" w:cs="Times New Roman"/>
        </w:rPr>
        <w:t>Nolikumu;</w:t>
      </w:r>
    </w:p>
    <w:p w:rsidR="00721D36" w:rsidRPr="00E64874" w:rsidRDefault="00DF482B" w:rsidP="00721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2016.gada 22.jūnijā</w:t>
      </w:r>
      <w:r w:rsidR="00721D36" w:rsidRPr="00E648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Iepirkuma komisija sniedza atbildi</w:t>
      </w:r>
      <w:r w:rsidR="00721D36" w:rsidRPr="00E64874">
        <w:rPr>
          <w:rFonts w:ascii="Times New Roman" w:eastAsia="Times New Roman" w:hAnsi="Times New Roman" w:cs="Times New Roman"/>
        </w:rPr>
        <w:t>, kura tika ievietota Siguldas novada pašvaldības mājas lapā.</w:t>
      </w:r>
    </w:p>
    <w:p w:rsidR="00721D36" w:rsidRPr="00E64874" w:rsidRDefault="00721D36" w:rsidP="00721D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721D36" w:rsidRPr="00E64874" w:rsidRDefault="00721D36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21D36" w:rsidRPr="00E64874" w:rsidRDefault="00721D36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21D36" w:rsidRPr="00E64874" w:rsidRDefault="00721D36" w:rsidP="00721D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E6487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/>
    <w:p w:rsidR="00AF7368" w:rsidRDefault="00AF7368"/>
    <w:sectPr w:rsidR="00AF7368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AB" w:rsidRDefault="003773AB" w:rsidP="00DF482B">
      <w:pPr>
        <w:spacing w:after="0" w:line="240" w:lineRule="auto"/>
      </w:pPr>
      <w:r>
        <w:separator/>
      </w:r>
    </w:p>
  </w:endnote>
  <w:endnote w:type="continuationSeparator" w:id="0">
    <w:p w:rsidR="003773AB" w:rsidRDefault="003773AB" w:rsidP="00D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377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AB" w:rsidRDefault="003773AB" w:rsidP="00DF482B">
      <w:pPr>
        <w:spacing w:after="0" w:line="240" w:lineRule="auto"/>
      </w:pPr>
      <w:r>
        <w:separator/>
      </w:r>
    </w:p>
  </w:footnote>
  <w:footnote w:type="continuationSeparator" w:id="0">
    <w:p w:rsidR="003773AB" w:rsidRDefault="003773AB" w:rsidP="00DF482B">
      <w:pPr>
        <w:spacing w:after="0" w:line="240" w:lineRule="auto"/>
      </w:pPr>
      <w:r>
        <w:continuationSeparator/>
      </w:r>
    </w:p>
  </w:footnote>
  <w:footnote w:id="1">
    <w:p w:rsidR="00DF482B" w:rsidRDefault="00DF482B" w:rsidP="00DF482B">
      <w:pPr>
        <w:pStyle w:val="FootnoteText"/>
      </w:pPr>
      <w:r>
        <w:rPr>
          <w:rStyle w:val="FootnoteReference"/>
        </w:rPr>
        <w:footnoteRef/>
      </w:r>
      <w:r w:rsidRPr="007E46F0">
        <w:rPr>
          <w:rFonts w:ascii="Times New Roman" w:hAnsi="Times New Roman" w:cs="Times New Roman"/>
        </w:rPr>
        <w:t>Cenas aprēķins pēc formulas</w:t>
      </w:r>
      <w:r>
        <w:t xml:space="preserve">:  </w:t>
      </w:r>
      <w:r w:rsidRPr="00FC4FE5">
        <w:rPr>
          <w:rFonts w:ascii="Times New Roman" w:eastAsia="Times New Roman" w:hAnsi="Times New Roman" w:cs="Times New Roman"/>
          <w:color w:val="000000"/>
          <w:lang w:eastAsia="lv-LV"/>
        </w:rPr>
        <w:t>6200/6200*60=60</w:t>
      </w:r>
    </w:p>
  </w:footnote>
  <w:footnote w:id="2">
    <w:p w:rsidR="00DF482B" w:rsidRDefault="00DF482B" w:rsidP="00DF4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6F0">
        <w:rPr>
          <w:rFonts w:ascii="Times New Roman" w:hAnsi="Times New Roman" w:cs="Times New Roman"/>
        </w:rPr>
        <w:t>Cenas aprēķins pēc formulas</w:t>
      </w:r>
      <w:r>
        <w:rPr>
          <w:rFonts w:ascii="Times New Roman" w:hAnsi="Times New Roman" w:cs="Times New Roman"/>
        </w:rPr>
        <w:t>:</w:t>
      </w:r>
      <w:r w:rsidRPr="007E46F0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FC4FE5">
        <w:rPr>
          <w:rFonts w:ascii="Times New Roman" w:eastAsia="Times New Roman" w:hAnsi="Times New Roman" w:cs="Times New Roman"/>
          <w:color w:val="000000"/>
          <w:lang w:eastAsia="lv-LV"/>
        </w:rPr>
        <w:t>6200/11800*60=31.5254237</w:t>
      </w:r>
    </w:p>
  </w:footnote>
  <w:footnote w:id="3">
    <w:p w:rsidR="00DF482B" w:rsidRDefault="00DF482B" w:rsidP="00DF4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6F0">
        <w:rPr>
          <w:rFonts w:ascii="Times New Roman" w:hAnsi="Times New Roman" w:cs="Times New Roman"/>
        </w:rPr>
        <w:t>Cenas aprēķins pēc formulas</w:t>
      </w:r>
      <w:r>
        <w:rPr>
          <w:rFonts w:ascii="Times New Roman" w:hAnsi="Times New Roman" w:cs="Times New Roman"/>
        </w:rPr>
        <w:t>:</w:t>
      </w:r>
      <w:r w:rsidRPr="007E46F0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FC4FE5">
        <w:rPr>
          <w:rFonts w:ascii="Times New Roman" w:eastAsia="Times New Roman" w:hAnsi="Times New Roman" w:cs="Times New Roman"/>
          <w:color w:val="000000"/>
          <w:lang w:eastAsia="lv-LV"/>
        </w:rPr>
        <w:t>6200/10500*60=35.42857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1B159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377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1B159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B2E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377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511"/>
    <w:multiLevelType w:val="hybridMultilevel"/>
    <w:tmpl w:val="0AB40884"/>
    <w:lvl w:ilvl="0" w:tplc="9196B276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21EE"/>
    <w:multiLevelType w:val="hybridMultilevel"/>
    <w:tmpl w:val="7A2A2D5C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415772"/>
    <w:multiLevelType w:val="hybridMultilevel"/>
    <w:tmpl w:val="E44A76D2"/>
    <w:lvl w:ilvl="0" w:tplc="10B40F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0ED5"/>
    <w:multiLevelType w:val="multilevel"/>
    <w:tmpl w:val="78C239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6"/>
    <w:rsid w:val="001B1599"/>
    <w:rsid w:val="003773AB"/>
    <w:rsid w:val="00721D36"/>
    <w:rsid w:val="00851B2E"/>
    <w:rsid w:val="00AF7368"/>
    <w:rsid w:val="00D25C7D"/>
    <w:rsid w:val="00D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3EED3-F130-4DAE-9824-ADAE3B56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36"/>
  </w:style>
  <w:style w:type="paragraph" w:styleId="Heading1">
    <w:name w:val="heading 1"/>
    <w:basedOn w:val="Normal"/>
    <w:next w:val="Normal"/>
    <w:link w:val="Heading1Char"/>
    <w:uiPriority w:val="9"/>
    <w:qFormat/>
    <w:rsid w:val="00DF4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36"/>
  </w:style>
  <w:style w:type="character" w:styleId="PageNumber">
    <w:name w:val="page number"/>
    <w:basedOn w:val="DefaultParagraphFont"/>
    <w:rsid w:val="00721D36"/>
  </w:style>
  <w:style w:type="paragraph" w:styleId="Footer">
    <w:name w:val="footer"/>
    <w:basedOn w:val="Normal"/>
    <w:link w:val="FooterChar"/>
    <w:uiPriority w:val="99"/>
    <w:unhideWhenUsed/>
    <w:rsid w:val="00721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36"/>
  </w:style>
  <w:style w:type="paragraph" w:styleId="ListParagraph">
    <w:name w:val="List Paragraph"/>
    <w:basedOn w:val="Normal"/>
    <w:uiPriority w:val="34"/>
    <w:qFormat/>
    <w:rsid w:val="00721D36"/>
    <w:pPr>
      <w:ind w:left="720"/>
      <w:contextualSpacing/>
    </w:pPr>
  </w:style>
  <w:style w:type="table" w:styleId="TableGrid">
    <w:name w:val="Table Grid"/>
    <w:basedOn w:val="TableNormal"/>
    <w:uiPriority w:val="39"/>
    <w:rsid w:val="00DF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">
    <w:name w:val="Style Heading 1"/>
    <w:basedOn w:val="Heading1"/>
    <w:rsid w:val="00DF482B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b/>
      <w:bCs/>
      <w:caps/>
      <w:color w:val="auto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82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F4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5982</Words>
  <Characters>3411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3</cp:revision>
  <dcterms:created xsi:type="dcterms:W3CDTF">2016-07-29T10:39:00Z</dcterms:created>
  <dcterms:modified xsi:type="dcterms:W3CDTF">2016-08-24T08:23:00Z</dcterms:modified>
</cp:coreProperties>
</file>