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1B017" w14:textId="7E45146C" w:rsidR="00F214DC" w:rsidRPr="00F214DC" w:rsidRDefault="00BE0B42" w:rsidP="00F214DC">
      <w:pPr>
        <w:keepNext/>
        <w:keepLine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lv-LV" w:bidi="lv-LV"/>
        </w:rPr>
      </w:pPr>
      <w:r w:rsidRPr="00BE0B42">
        <w:rPr>
          <w:rFonts w:ascii="Times New Roman" w:eastAsia="Calibri" w:hAnsi="Times New Roman" w:cs="Times New Roman"/>
          <w:color w:val="000000"/>
          <w:sz w:val="20"/>
          <w:szCs w:val="20"/>
          <w:lang w:val="lv-LV" w:bidi="lv-LV"/>
        </w:rPr>
        <w:t>2</w:t>
      </w:r>
      <w:r w:rsidR="00F214DC" w:rsidRPr="00F214DC">
        <w:rPr>
          <w:rFonts w:ascii="Times New Roman" w:eastAsia="Calibri" w:hAnsi="Times New Roman" w:cs="Times New Roman"/>
          <w:color w:val="000000"/>
          <w:sz w:val="20"/>
          <w:szCs w:val="20"/>
          <w:lang w:val="lv-LV" w:bidi="lv-LV"/>
        </w:rPr>
        <w:t>.pielikums</w:t>
      </w:r>
    </w:p>
    <w:p w14:paraId="73FD27A9" w14:textId="77777777" w:rsidR="00F214DC" w:rsidRPr="00F214DC" w:rsidRDefault="00F214DC" w:rsidP="00F214DC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val="lv-LV"/>
        </w:rPr>
      </w:pPr>
      <w:r w:rsidRPr="00F214DC"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iepirkuma </w:t>
      </w:r>
      <w:r w:rsidRPr="00F214DC">
        <w:rPr>
          <w:rFonts w:ascii="Times New Roman" w:eastAsia="Times New Roman" w:hAnsi="Times New Roman" w:cs="Times New Roman"/>
          <w:sz w:val="20"/>
          <w:szCs w:val="20"/>
          <w:lang w:val="lv-LV"/>
        </w:rPr>
        <w:t>“</w:t>
      </w:r>
      <w:r w:rsidRPr="00F214DC">
        <w:rPr>
          <w:rFonts w:ascii="Times New Roman" w:eastAsia="Times New Roman" w:hAnsi="Times New Roman" w:cs="Times New Roman"/>
          <w:bCs/>
          <w:sz w:val="18"/>
          <w:szCs w:val="18"/>
          <w:lang w:val="lv-LV"/>
        </w:rPr>
        <w:t xml:space="preserve">Siguldas novada pašvaldības ārējo elektrotīklu, </w:t>
      </w:r>
    </w:p>
    <w:p w14:paraId="51E77F45" w14:textId="77777777" w:rsidR="00F214DC" w:rsidRPr="00F214DC" w:rsidRDefault="00F214DC" w:rsidP="00F214DC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lv-LV"/>
        </w:rPr>
      </w:pPr>
      <w:r w:rsidRPr="00F214DC">
        <w:rPr>
          <w:rFonts w:ascii="Times New Roman" w:eastAsia="Times New Roman" w:hAnsi="Times New Roman" w:cs="Times New Roman"/>
          <w:bCs/>
          <w:sz w:val="18"/>
          <w:szCs w:val="18"/>
          <w:lang w:val="lv-LV"/>
        </w:rPr>
        <w:t>ielu un laukumu apgaismojuma darbības nodrošināšana</w:t>
      </w:r>
      <w:r w:rsidRPr="00F214DC">
        <w:rPr>
          <w:rFonts w:ascii="Times New Roman" w:eastAsia="Times New Roman" w:hAnsi="Times New Roman" w:cs="Times New Roman"/>
          <w:sz w:val="20"/>
          <w:szCs w:val="20"/>
          <w:lang w:val="lv-LV"/>
        </w:rPr>
        <w:t>”</w:t>
      </w:r>
      <w:r w:rsidRPr="00F214DC">
        <w:rPr>
          <w:rFonts w:ascii="Times New Roman" w:eastAsia="Times New Roman" w:hAnsi="Times New Roman" w:cs="Times New Roman"/>
          <w:sz w:val="18"/>
          <w:szCs w:val="18"/>
          <w:lang w:val="lv-LV"/>
        </w:rPr>
        <w:t>,</w:t>
      </w:r>
    </w:p>
    <w:p w14:paraId="390A6417" w14:textId="77777777" w:rsidR="00F214DC" w:rsidRPr="00F214DC" w:rsidRDefault="00F214DC" w:rsidP="00F214DC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lv-LV"/>
        </w:rPr>
      </w:pPr>
      <w:r w:rsidRPr="00F214DC"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 ID Nr. </w:t>
      </w:r>
      <w:r w:rsidRPr="00F214DC">
        <w:rPr>
          <w:rFonts w:ascii="Times New Roman" w:eastAsia="Times New Roman" w:hAnsi="Times New Roman" w:cs="Times New Roman"/>
          <w:b/>
          <w:sz w:val="18"/>
          <w:szCs w:val="18"/>
          <w:lang w:val="lv-LV"/>
        </w:rPr>
        <w:t>SNP 2018/</w:t>
      </w:r>
      <w:r w:rsidRPr="00F214DC">
        <w:rPr>
          <w:rFonts w:ascii="Times New Roman" w:eastAsia="Times New Roman" w:hAnsi="Times New Roman" w:cs="Times New Roman"/>
          <w:b/>
          <w:sz w:val="18"/>
          <w:szCs w:val="18"/>
          <w:lang w:val="lv-LV"/>
        </w:rPr>
        <w:softHyphen/>
      </w:r>
      <w:r w:rsidRPr="00F214DC">
        <w:rPr>
          <w:rFonts w:ascii="Times New Roman" w:eastAsia="Times New Roman" w:hAnsi="Times New Roman" w:cs="Times New Roman"/>
          <w:b/>
          <w:sz w:val="18"/>
          <w:szCs w:val="18"/>
          <w:lang w:val="lv-LV"/>
        </w:rPr>
        <w:softHyphen/>
      </w:r>
      <w:r w:rsidRPr="00F214DC">
        <w:rPr>
          <w:rFonts w:ascii="Times New Roman" w:eastAsia="Times New Roman" w:hAnsi="Times New Roman" w:cs="Times New Roman"/>
          <w:b/>
          <w:sz w:val="18"/>
          <w:szCs w:val="18"/>
          <w:lang w:val="lv-LV"/>
        </w:rPr>
        <w:softHyphen/>
      </w:r>
      <w:r w:rsidRPr="00F214DC">
        <w:rPr>
          <w:rFonts w:ascii="Times New Roman" w:eastAsia="Times New Roman" w:hAnsi="Times New Roman" w:cs="Times New Roman"/>
          <w:b/>
          <w:sz w:val="18"/>
          <w:szCs w:val="18"/>
          <w:lang w:val="lv-LV"/>
        </w:rPr>
        <w:softHyphen/>
      </w:r>
      <w:r w:rsidRPr="00F214DC">
        <w:rPr>
          <w:rFonts w:ascii="Times New Roman" w:eastAsia="Times New Roman" w:hAnsi="Times New Roman" w:cs="Times New Roman"/>
          <w:b/>
          <w:sz w:val="18"/>
          <w:szCs w:val="18"/>
          <w:lang w:val="lv-LV"/>
        </w:rPr>
        <w:softHyphen/>
      </w:r>
      <w:r w:rsidRPr="00F214DC">
        <w:rPr>
          <w:rFonts w:ascii="Times New Roman" w:eastAsia="Times New Roman" w:hAnsi="Times New Roman" w:cs="Times New Roman"/>
          <w:b/>
          <w:sz w:val="18"/>
          <w:szCs w:val="18"/>
          <w:lang w:val="lv-LV"/>
        </w:rPr>
        <w:softHyphen/>
      </w:r>
      <w:r w:rsidRPr="00F214DC">
        <w:rPr>
          <w:rFonts w:ascii="Times New Roman" w:eastAsia="Times New Roman" w:hAnsi="Times New Roman" w:cs="Times New Roman"/>
          <w:b/>
          <w:sz w:val="18"/>
          <w:szCs w:val="18"/>
          <w:lang w:val="lv-LV"/>
        </w:rPr>
        <w:softHyphen/>
      </w:r>
      <w:r w:rsidRPr="00F214DC">
        <w:rPr>
          <w:rFonts w:ascii="Times New Roman" w:eastAsia="Times New Roman" w:hAnsi="Times New Roman" w:cs="Times New Roman"/>
          <w:b/>
          <w:sz w:val="18"/>
          <w:szCs w:val="18"/>
          <w:lang w:val="lv-LV"/>
        </w:rPr>
        <w:softHyphen/>
      </w:r>
      <w:r w:rsidRPr="00F214DC">
        <w:rPr>
          <w:rFonts w:ascii="Times New Roman" w:eastAsia="Times New Roman" w:hAnsi="Times New Roman" w:cs="Times New Roman"/>
          <w:b/>
          <w:sz w:val="18"/>
          <w:szCs w:val="18"/>
          <w:lang w:val="lv-LV"/>
        </w:rPr>
        <w:softHyphen/>
        <w:t>15/AK</w:t>
      </w:r>
    </w:p>
    <w:p w14:paraId="5EAEA104" w14:textId="77777777" w:rsidR="00F214DC" w:rsidRPr="00F214DC" w:rsidRDefault="00F214DC" w:rsidP="00F214DC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lv-LV"/>
        </w:rPr>
      </w:pPr>
      <w:r w:rsidRPr="00F214DC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lv-LV"/>
        </w:rPr>
        <w:t xml:space="preserve"> </w:t>
      </w:r>
      <w:r w:rsidRPr="00F214DC">
        <w:rPr>
          <w:rFonts w:ascii="Times New Roman" w:eastAsia="Times New Roman" w:hAnsi="Times New Roman" w:cs="Times New Roman"/>
          <w:sz w:val="18"/>
          <w:szCs w:val="18"/>
          <w:lang w:val="lv-LV"/>
        </w:rPr>
        <w:t>nolikumam</w:t>
      </w:r>
    </w:p>
    <w:p w14:paraId="6C640E69" w14:textId="77777777" w:rsidR="00F214DC" w:rsidRPr="00F214DC" w:rsidRDefault="00F214DC" w:rsidP="00F214DC">
      <w:pPr>
        <w:suppressAutoHyphens/>
        <w:spacing w:after="0" w:line="240" w:lineRule="auto"/>
        <w:jc w:val="right"/>
        <w:rPr>
          <w:rFonts w:ascii="Arial" w:eastAsia="Times New Roman" w:hAnsi="Arial" w:cs="Arial"/>
          <w:szCs w:val="24"/>
          <w:lang w:val="lv-LV" w:eastAsia="zh-CN"/>
        </w:rPr>
      </w:pPr>
    </w:p>
    <w:p w14:paraId="5589CAEE" w14:textId="77777777" w:rsidR="00F214DC" w:rsidRPr="00F214DC" w:rsidRDefault="00F214DC" w:rsidP="00F214DC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 w:eastAsia="zh-CN"/>
        </w:rPr>
      </w:pPr>
      <w:r w:rsidRPr="00F214DC">
        <w:rPr>
          <w:rFonts w:ascii="Times New Roman" w:eastAsia="Times New Roman" w:hAnsi="Times New Roman" w:cs="Times New Roman"/>
          <w:b/>
          <w:sz w:val="28"/>
          <w:szCs w:val="28"/>
          <w:lang w:val="lv-LV" w:eastAsia="zh-CN"/>
        </w:rPr>
        <w:t>DARBA UZDEVUMS</w:t>
      </w:r>
    </w:p>
    <w:p w14:paraId="223ADECF" w14:textId="77777777" w:rsidR="00F214DC" w:rsidRPr="00F214DC" w:rsidRDefault="00F214DC" w:rsidP="00F214DC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lv-LV" w:eastAsia="zh-CN"/>
        </w:rPr>
      </w:pPr>
    </w:p>
    <w:p w14:paraId="47827694" w14:textId="77777777" w:rsidR="00F214DC" w:rsidRPr="00F214DC" w:rsidRDefault="00F214DC" w:rsidP="005207EF">
      <w:pPr>
        <w:pStyle w:val="ListParagraph"/>
        <w:suppressAutoHyphens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zh-CN"/>
        </w:rPr>
      </w:pPr>
      <w:r w:rsidRPr="00F214DC">
        <w:rPr>
          <w:rFonts w:ascii="Times New Roman" w:eastAsia="Times New Roman" w:hAnsi="Times New Roman" w:cs="Times New Roman"/>
          <w:b/>
          <w:sz w:val="24"/>
          <w:szCs w:val="24"/>
          <w:lang w:val="lv-LV" w:eastAsia="zh-CN"/>
        </w:rPr>
        <w:t>NOSACĪJUMI PRETENDENT</w:t>
      </w:r>
      <w:r w:rsidR="005207EF">
        <w:rPr>
          <w:rFonts w:ascii="Times New Roman" w:eastAsia="Times New Roman" w:hAnsi="Times New Roman" w:cs="Times New Roman"/>
          <w:b/>
          <w:sz w:val="24"/>
          <w:szCs w:val="24"/>
          <w:lang w:val="lv-LV" w:eastAsia="zh-CN"/>
        </w:rPr>
        <w:t>IEM</w:t>
      </w:r>
    </w:p>
    <w:p w14:paraId="730BDB43" w14:textId="77777777" w:rsidR="00F214DC" w:rsidRPr="00F214DC" w:rsidRDefault="00F214DC" w:rsidP="00F214D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 w:eastAsia="zh-CN"/>
        </w:rPr>
      </w:pPr>
    </w:p>
    <w:p w14:paraId="28E78ED4" w14:textId="6AB15CBD" w:rsidR="00F214DC" w:rsidRPr="005207EF" w:rsidRDefault="00F214DC" w:rsidP="005207EF">
      <w:pPr>
        <w:pStyle w:val="ListParagraph"/>
        <w:numPr>
          <w:ilvl w:val="0"/>
          <w:numId w:val="2"/>
        </w:numPr>
        <w:suppressAutoHyphens/>
        <w:spacing w:after="0" w:line="276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  <w:r w:rsidRPr="005207EF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 xml:space="preserve">Darbus jāveic saskaņā ar Ministru kabineta 2014.gada 25.marta noteikumiem Nr. 156 „Būvizstrādājumu tirgus uzraudzības kārtība”,  Ministru kabineta </w:t>
      </w:r>
      <w:r w:rsidR="007355C7" w:rsidRPr="005207EF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2016</w:t>
      </w:r>
      <w:r w:rsidRPr="005207EF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.</w:t>
      </w:r>
      <w:r w:rsidR="007355C7" w:rsidRPr="005207EF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gada 12.aprīļa</w:t>
      </w:r>
      <w:r w:rsidRPr="005207EF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 xml:space="preserve"> noteikumiem Nr. </w:t>
      </w:r>
      <w:r w:rsidR="007355C7" w:rsidRPr="005207EF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209</w:t>
      </w:r>
      <w:r w:rsidRPr="005207EF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 xml:space="preserve"> „Iekārtu elektrodrošības noteikumi”</w:t>
      </w:r>
      <w:r w:rsidR="007355C7" w:rsidRPr="005207EF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 xml:space="preserve"> </w:t>
      </w:r>
      <w:r w:rsidRPr="005207EF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un</w:t>
      </w:r>
      <w:r w:rsidR="00DF5717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 xml:space="preserve"> citiem normatīvajiem aktiem. </w:t>
      </w:r>
    </w:p>
    <w:p w14:paraId="565F2DA9" w14:textId="77777777" w:rsidR="00F214DC" w:rsidRPr="00F214DC" w:rsidRDefault="00F214DC" w:rsidP="00F214DC">
      <w:pPr>
        <w:numPr>
          <w:ilvl w:val="0"/>
          <w:numId w:val="2"/>
        </w:numPr>
        <w:suppressAutoHyphens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 xml:space="preserve">Aprīkojuma piedāvājumā ievērot </w:t>
      </w:r>
      <w:r w:rsidR="007355C7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Ministru kabineta</w:t>
      </w:r>
      <w:r w:rsidRPr="00F214DC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 xml:space="preserve"> 2017.gada 20. jūnija</w:t>
      </w:r>
      <w:r w:rsidR="007355C7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 xml:space="preserve"> noteikumu Nr. 353 “Prasības zaļajam publiskajam iepirkumam un to piemērošanas kārtība”</w:t>
      </w:r>
      <w:r w:rsidRPr="00F214DC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 xml:space="preserve"> 1.</w:t>
      </w:r>
      <w:r w:rsidR="007355C7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p</w:t>
      </w:r>
      <w:r w:rsidRPr="00F214DC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 xml:space="preserve">ielikuma punktu 7.1. </w:t>
      </w:r>
      <w:r w:rsidR="00336BBE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zaļā publiskā iepirkuma</w:t>
      </w:r>
      <w:r w:rsidRPr="00F214DC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 xml:space="preserve"> prasības un kritēriji ielu apgaismojuma aprīkojumam un </w:t>
      </w:r>
      <w:r w:rsidRPr="00F214DC">
        <w:rPr>
          <w:rFonts w:ascii="Times New Roman" w:eastAsia="Times New Roman" w:hAnsi="Times New Roman" w:cs="Times New Roman"/>
          <w:iCs/>
          <w:sz w:val="24"/>
          <w:szCs w:val="24"/>
          <w:lang w:val="lv-LV" w:eastAsia="zh-CN"/>
        </w:rPr>
        <w:t>Direktīvas  2002/95/EK  par   dažu   bīstamo   vielu   izmantošanas  ierobežošanu  elektriskajās  un  elektroniskajās  ierīcēs (RoHS) prasības</w:t>
      </w:r>
      <w:r w:rsidRPr="00F214DC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.</w:t>
      </w:r>
    </w:p>
    <w:p w14:paraId="4C980652" w14:textId="77777777" w:rsidR="00F214DC" w:rsidRPr="00F214DC" w:rsidRDefault="00F214DC" w:rsidP="00F214DC">
      <w:pPr>
        <w:numPr>
          <w:ilvl w:val="0"/>
          <w:numId w:val="2"/>
        </w:numPr>
        <w:suppressAutoHyphens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 xml:space="preserve">Ielu apgaismojuma pastāvīgās darbības nodrošināšanai </w:t>
      </w:r>
      <w:r w:rsidR="005207EF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p</w:t>
      </w:r>
      <w:r w:rsidRPr="00F214DC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retendents apkopi veic 1 reizi nedēļā.</w:t>
      </w:r>
    </w:p>
    <w:p w14:paraId="7F374869" w14:textId="77777777" w:rsidR="00F214DC" w:rsidRPr="00F214DC" w:rsidRDefault="00F214DC" w:rsidP="00F214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</w:p>
    <w:p w14:paraId="06E1CF12" w14:textId="77777777" w:rsidR="00F214DC" w:rsidRPr="00F214DC" w:rsidRDefault="00F214DC" w:rsidP="00F214DC">
      <w:pPr>
        <w:tabs>
          <w:tab w:val="left" w:pos="18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</w:p>
    <w:p w14:paraId="1FD1A0CF" w14:textId="77777777" w:rsidR="00F214DC" w:rsidRPr="00F214DC" w:rsidRDefault="00F214DC" w:rsidP="00F214DC">
      <w:pPr>
        <w:tabs>
          <w:tab w:val="left" w:pos="18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zh-CN"/>
        </w:rPr>
      </w:pPr>
      <w:r w:rsidRPr="00F214DC">
        <w:rPr>
          <w:rFonts w:ascii="Times New Roman" w:eastAsia="Times New Roman" w:hAnsi="Times New Roman" w:cs="Times New Roman"/>
          <w:b/>
          <w:sz w:val="24"/>
          <w:szCs w:val="24"/>
          <w:lang w:val="lv-LV" w:eastAsia="zh-CN"/>
        </w:rPr>
        <w:t xml:space="preserve">IELU APGAISMOJUMA TĪKLOS VEICAMĀS DARBĪBAS </w:t>
      </w:r>
    </w:p>
    <w:p w14:paraId="4812F2AD" w14:textId="77777777" w:rsidR="00F214DC" w:rsidRPr="00F214DC" w:rsidRDefault="00F214DC" w:rsidP="005207EF">
      <w:pPr>
        <w:tabs>
          <w:tab w:val="left" w:pos="18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 w:eastAsia="zh-CN"/>
        </w:rPr>
      </w:pPr>
    </w:p>
    <w:p w14:paraId="19F4A9A5" w14:textId="77777777" w:rsidR="00F214DC" w:rsidRPr="00F214DC" w:rsidRDefault="00F214DC" w:rsidP="005207EF">
      <w:pPr>
        <w:numPr>
          <w:ilvl w:val="0"/>
          <w:numId w:val="1"/>
        </w:numPr>
        <w:tabs>
          <w:tab w:val="clear" w:pos="644"/>
          <w:tab w:val="left" w:pos="1800"/>
        </w:tabs>
        <w:suppressAutoHyphens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Nodrošināt Siguldas novada pašvaldības īpašumā esošu āra apgaismojuma elektroiekārtu drošu ekspluatāciju un remontu. Āra apgaismojums ir pilsētas ielu, laukumu un skvēru, veloceliņa apgaismojums, pašvaldību iestāžu teritorijas.</w:t>
      </w:r>
    </w:p>
    <w:p w14:paraId="5A1CEDC4" w14:textId="77777777" w:rsidR="00F214DC" w:rsidRPr="00F214DC" w:rsidRDefault="00F214DC" w:rsidP="005207EF">
      <w:pPr>
        <w:numPr>
          <w:ilvl w:val="0"/>
          <w:numId w:val="1"/>
        </w:numPr>
        <w:tabs>
          <w:tab w:val="clear" w:pos="644"/>
          <w:tab w:val="left" w:pos="1800"/>
        </w:tabs>
        <w:suppressAutoHyphens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 xml:space="preserve">Veikt ielu </w:t>
      </w:r>
      <w:bookmarkStart w:id="0" w:name="_Hlk529902866"/>
      <w:r w:rsidRPr="00F214DC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apgaismojuma ieslēgšanas un izslēgšanas iekārtu (SIEMENS vadības bloku, iekārtu ar fotoelementu un laika releju) regulēšanu</w:t>
      </w:r>
      <w:bookmarkEnd w:id="0"/>
      <w:r w:rsidRPr="00F214DC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, lai nodrošinātu elektroenerģijas lietderīgu izmantošanu, pamatojoties uz grafiku, kas saskaņots ar Siguldas novada pašvaldību.</w:t>
      </w:r>
    </w:p>
    <w:p w14:paraId="22DA5557" w14:textId="77777777" w:rsidR="00F214DC" w:rsidRPr="00F214DC" w:rsidRDefault="00F214DC" w:rsidP="005207EF">
      <w:pPr>
        <w:numPr>
          <w:ilvl w:val="0"/>
          <w:numId w:val="1"/>
        </w:numPr>
        <w:tabs>
          <w:tab w:val="clear" w:pos="644"/>
          <w:tab w:val="left" w:pos="1800"/>
        </w:tabs>
        <w:suppressAutoHyphens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Veikt apgaismojuma tīkla komutācijas punktu apkalpošanu.</w:t>
      </w:r>
    </w:p>
    <w:p w14:paraId="2D08BBFB" w14:textId="77777777" w:rsidR="00F214DC" w:rsidRPr="00F214DC" w:rsidRDefault="00F214DC" w:rsidP="005207EF">
      <w:pPr>
        <w:numPr>
          <w:ilvl w:val="0"/>
          <w:numId w:val="1"/>
        </w:numPr>
        <w:tabs>
          <w:tab w:val="clear" w:pos="644"/>
          <w:tab w:val="left" w:pos="1800"/>
        </w:tabs>
        <w:suppressAutoHyphens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Veikt ielu apgaismojuma tehnisko apkalpošanu, kurā ietilpst:</w:t>
      </w:r>
    </w:p>
    <w:p w14:paraId="432049B3" w14:textId="77777777" w:rsidR="00F214DC" w:rsidRPr="00F214DC" w:rsidRDefault="005207EF" w:rsidP="00DF5717">
      <w:pPr>
        <w:numPr>
          <w:ilvl w:val="1"/>
          <w:numId w:val="5"/>
        </w:numPr>
        <w:tabs>
          <w:tab w:val="left" w:pos="630"/>
        </w:tabs>
        <w:suppressAutoHyphens/>
        <w:spacing w:after="0" w:line="276" w:lineRule="auto"/>
        <w:ind w:left="720" w:hanging="45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 xml:space="preserve"> </w:t>
      </w:r>
      <w:r w:rsidR="00DF5717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n</w:t>
      </w:r>
      <w:r w:rsidR="00F214DC" w:rsidRPr="00F214DC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e retāk kā 1 reizi nedēļā izdegušo spuldžu noteikšana un nomaiņa ar vienlaicīgu apgaismošanas tīkla iekārtas apskati;</w:t>
      </w:r>
    </w:p>
    <w:p w14:paraId="48B836BD" w14:textId="77777777" w:rsidR="00F214DC" w:rsidRPr="00F214DC" w:rsidRDefault="00DF5717" w:rsidP="005207EF">
      <w:pPr>
        <w:numPr>
          <w:ilvl w:val="1"/>
          <w:numId w:val="5"/>
        </w:numPr>
        <w:tabs>
          <w:tab w:val="left" w:pos="720"/>
        </w:tabs>
        <w:suppressAutoHyphens/>
        <w:spacing w:after="0" w:line="276" w:lineRule="auto"/>
        <w:ind w:left="270" w:firstLine="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f</w:t>
      </w:r>
      <w:r w:rsidR="00F214DC" w:rsidRPr="00F214DC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āžu noslodzes pārbaude pēc ielu apgaismojuma tīkla shēmas būtiskām izmaiņām;</w:t>
      </w:r>
    </w:p>
    <w:p w14:paraId="5E18BAEA" w14:textId="77777777" w:rsidR="00F214DC" w:rsidRPr="00F214DC" w:rsidRDefault="00DF5717" w:rsidP="005207EF">
      <w:pPr>
        <w:numPr>
          <w:ilvl w:val="1"/>
          <w:numId w:val="5"/>
        </w:numPr>
        <w:tabs>
          <w:tab w:val="left" w:pos="720"/>
        </w:tabs>
        <w:suppressAutoHyphens/>
        <w:spacing w:after="0" w:line="276" w:lineRule="auto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z</w:t>
      </w:r>
      <w:r w:rsidR="00F214DC" w:rsidRPr="00F214DC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emējuma ietaišu pārbaude pēc remontdarbu veikšanas vai ievērojot noteikto pārbaužu grafiku;</w:t>
      </w:r>
    </w:p>
    <w:p w14:paraId="75C77D12" w14:textId="77777777" w:rsidR="00F214DC" w:rsidRPr="00F214DC" w:rsidRDefault="00DF5717" w:rsidP="005207EF">
      <w:pPr>
        <w:numPr>
          <w:ilvl w:val="1"/>
          <w:numId w:val="5"/>
        </w:numPr>
        <w:tabs>
          <w:tab w:val="left" w:pos="720"/>
        </w:tabs>
        <w:suppressAutoHyphens/>
        <w:spacing w:after="0" w:line="276" w:lineRule="auto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c</w:t>
      </w:r>
      <w:r w:rsidR="00F214DC" w:rsidRPr="00F214DC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ilpas fāze-0 mērījumi izdarāmi pēc būtiskām tīkla konfigurācijas izmaiņām un pirms jaunu objektu nodošanas ekspluatācijā;</w:t>
      </w:r>
    </w:p>
    <w:p w14:paraId="0116021F" w14:textId="77777777" w:rsidR="00F214DC" w:rsidRPr="00F214DC" w:rsidRDefault="00DF5717" w:rsidP="005207EF">
      <w:pPr>
        <w:numPr>
          <w:ilvl w:val="1"/>
          <w:numId w:val="5"/>
        </w:numPr>
        <w:tabs>
          <w:tab w:val="left" w:pos="720"/>
        </w:tabs>
        <w:suppressAutoHyphens/>
        <w:spacing w:after="0" w:line="276" w:lineRule="auto"/>
        <w:ind w:left="270" w:firstLine="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v</w:t>
      </w:r>
      <w:r w:rsidR="00F214DC" w:rsidRPr="00F214DC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eikt apgaismes ķermeņu un nosedzošo stiklu (plastmasas) tīrīšanu.</w:t>
      </w:r>
    </w:p>
    <w:p w14:paraId="445C0600" w14:textId="77777777" w:rsidR="00F214DC" w:rsidRPr="00F214DC" w:rsidRDefault="00F214DC" w:rsidP="005207EF">
      <w:pPr>
        <w:numPr>
          <w:ilvl w:val="0"/>
          <w:numId w:val="1"/>
        </w:numPr>
        <w:tabs>
          <w:tab w:val="clear" w:pos="644"/>
          <w:tab w:val="left" w:pos="1800"/>
        </w:tabs>
        <w:suppressAutoHyphens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 xml:space="preserve"> Pieņemt un elektroniski reģistrēt pieteikumus bojājumiem ielu apgaismojuma tīklā, informēt Teritorijas attīstības pārvaldes Īpašuma un vides pārvaldības nodaļas nekustamā īpašuma speciālistu elektroniski uz e-pasta adresi: </w:t>
      </w:r>
      <w:r w:rsidRPr="00F214DC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u w:val="single"/>
          <w:lang w:val="lv-LV" w:eastAsia="zh-CN"/>
        </w:rPr>
        <w:t>ipasumi@sigulda.lv.</w:t>
      </w:r>
      <w:r w:rsidRPr="00F214DC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val="lv-LV" w:eastAsia="zh-CN"/>
        </w:rPr>
        <w:t xml:space="preserve"> </w:t>
      </w:r>
    </w:p>
    <w:p w14:paraId="195F0452" w14:textId="77777777" w:rsidR="00F214DC" w:rsidRPr="00F214DC" w:rsidRDefault="00F214DC" w:rsidP="005207EF">
      <w:pPr>
        <w:numPr>
          <w:ilvl w:val="0"/>
          <w:numId w:val="1"/>
        </w:numPr>
        <w:tabs>
          <w:tab w:val="clear" w:pos="644"/>
          <w:tab w:val="left" w:pos="1800"/>
        </w:tabs>
        <w:suppressAutoHyphens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Zemes rakšanas darbu veikšanas gadījumos, būvuzņēmējam</w:t>
      </w:r>
      <w:r w:rsidRPr="00F214DC">
        <w:rPr>
          <w:rFonts w:ascii="Times New Roman" w:eastAsia="Times New Roman" w:hAnsi="Times New Roman" w:cs="Times New Roman"/>
          <w:color w:val="FF0000"/>
          <w:sz w:val="24"/>
          <w:szCs w:val="24"/>
          <w:lang w:val="lv-LV" w:eastAsia="zh-CN"/>
        </w:rPr>
        <w:t xml:space="preserve"> </w:t>
      </w:r>
      <w:r w:rsidRPr="00F214DC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parādīt ielu apgaismojuma tīkla pazemes komunikāciju atrašanās vietas dabā un saskaņot, vai nesaskaņot rakšanas atļauju.</w:t>
      </w:r>
    </w:p>
    <w:p w14:paraId="6D358651" w14:textId="77777777" w:rsidR="00F214DC" w:rsidRPr="00F214DC" w:rsidRDefault="00F214DC" w:rsidP="005207EF">
      <w:pPr>
        <w:numPr>
          <w:ilvl w:val="0"/>
          <w:numId w:val="1"/>
        </w:numPr>
        <w:tabs>
          <w:tab w:val="clear" w:pos="644"/>
          <w:tab w:val="left" w:pos="1800"/>
        </w:tabs>
        <w:suppressAutoHyphens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Veikt kabeļu tīklu un iekārtu uzraudzību.</w:t>
      </w:r>
    </w:p>
    <w:p w14:paraId="396ECB09" w14:textId="77777777" w:rsidR="00F214DC" w:rsidRPr="00F214DC" w:rsidRDefault="00F214DC" w:rsidP="005207EF">
      <w:pPr>
        <w:numPr>
          <w:ilvl w:val="0"/>
          <w:numId w:val="1"/>
        </w:numPr>
        <w:tabs>
          <w:tab w:val="clear" w:pos="644"/>
          <w:tab w:val="left" w:pos="1800"/>
        </w:tabs>
        <w:suppressAutoHyphens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Veikt nepieciešamos slodžu un izolācijas pretestības mērījumus ielu apgaismojuma tīklā.</w:t>
      </w:r>
    </w:p>
    <w:p w14:paraId="6A6FEA9D" w14:textId="7A74F1D4" w:rsidR="00F214DC" w:rsidRPr="00F214DC" w:rsidRDefault="00F214DC" w:rsidP="005207EF">
      <w:pPr>
        <w:numPr>
          <w:ilvl w:val="0"/>
          <w:numId w:val="1"/>
        </w:numPr>
        <w:tabs>
          <w:tab w:val="clear" w:pos="644"/>
          <w:tab w:val="left" w:pos="1800"/>
        </w:tabs>
        <w:suppressAutoHyphens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 xml:space="preserve">Nodrošināt </w:t>
      </w:r>
      <w:r w:rsidRPr="00F214DC">
        <w:rPr>
          <w:rFonts w:ascii="Times New Roman" w:eastAsia="Times New Roman" w:hAnsi="Times New Roman" w:cs="Times New Roman"/>
          <w:iCs/>
          <w:sz w:val="24"/>
          <w:szCs w:val="24"/>
          <w:lang w:val="lv-LV" w:eastAsia="zh-CN"/>
        </w:rPr>
        <w:t>izlietotā ielu apgaismojuma aprīkojuma šķirošanu un nodošanu reģenerēšanai saskaņā ar M</w:t>
      </w:r>
      <w:r w:rsidR="007271C2">
        <w:rPr>
          <w:rFonts w:ascii="Times New Roman" w:eastAsia="Times New Roman" w:hAnsi="Times New Roman" w:cs="Times New Roman"/>
          <w:iCs/>
          <w:sz w:val="24"/>
          <w:szCs w:val="24"/>
          <w:lang w:val="lv-LV" w:eastAsia="zh-CN"/>
        </w:rPr>
        <w:t>inistru kabineta</w:t>
      </w:r>
      <w:r w:rsidRPr="00F214DC">
        <w:rPr>
          <w:rFonts w:ascii="Times New Roman" w:eastAsia="Times New Roman" w:hAnsi="Times New Roman" w:cs="Times New Roman"/>
          <w:iCs/>
          <w:sz w:val="24"/>
          <w:szCs w:val="24"/>
          <w:lang w:val="lv-LV" w:eastAsia="zh-CN"/>
        </w:rPr>
        <w:t xml:space="preserve"> 2014.gada 8.jūlija noteikumiem Nr.388 "Elektrisko un </w:t>
      </w:r>
      <w:r w:rsidRPr="00F214DC">
        <w:rPr>
          <w:rFonts w:ascii="Times New Roman" w:eastAsia="Times New Roman" w:hAnsi="Times New Roman" w:cs="Times New Roman"/>
          <w:iCs/>
          <w:sz w:val="24"/>
          <w:szCs w:val="24"/>
          <w:lang w:val="lv-LV" w:eastAsia="zh-CN"/>
        </w:rPr>
        <w:lastRenderedPageBreak/>
        <w:t>elektronisko iekārtu kategorijas un marķēšanas prasības un šo iekārtu atkritumu apsaimniekošanas prasības un kārtība</w:t>
      </w:r>
      <w:r w:rsidRPr="00F214DC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"</w:t>
      </w:r>
      <w:r w:rsidR="007271C2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 xml:space="preserve"> iesniedzot</w:t>
      </w:r>
      <w:r w:rsidRPr="00F214DC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 xml:space="preserve"> </w:t>
      </w:r>
      <w:r w:rsidR="007271C2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Siguldas novada pašvaldībai</w:t>
      </w:r>
      <w:r w:rsidRPr="00F214DC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 xml:space="preserve"> utilizācijas aktus 1 reizi mēnesī, ja nav apjoma, </w:t>
      </w:r>
      <w:r w:rsidR="00403E20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tad iesniedz apliecinājumu par iepriekš minēto</w:t>
      </w:r>
      <w:r w:rsidRPr="00F214DC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.</w:t>
      </w:r>
    </w:p>
    <w:p w14:paraId="62887AC6" w14:textId="77777777" w:rsidR="00F214DC" w:rsidRPr="00F214DC" w:rsidRDefault="007271C2" w:rsidP="005207EF">
      <w:pPr>
        <w:numPr>
          <w:ilvl w:val="0"/>
          <w:numId w:val="1"/>
        </w:numPr>
        <w:tabs>
          <w:tab w:val="clear" w:pos="644"/>
          <w:tab w:val="left" w:pos="1800"/>
        </w:tabs>
        <w:suppressAutoHyphens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Veikt t</w:t>
      </w:r>
      <w:r w:rsidR="00F214DC" w:rsidRPr="00F214DC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ehnisko noteikumu sagatavošana ielu apgaismojuma izbūvei vai šķērsojot Siguldas novada pašvaldības elektroietaišu komunikācijas.</w:t>
      </w:r>
    </w:p>
    <w:p w14:paraId="28DAF3CB" w14:textId="77777777" w:rsidR="00F214DC" w:rsidRPr="00F214DC" w:rsidRDefault="00F214DC" w:rsidP="005207EF">
      <w:pPr>
        <w:numPr>
          <w:ilvl w:val="0"/>
          <w:numId w:val="1"/>
        </w:numPr>
        <w:tabs>
          <w:tab w:val="clear" w:pos="644"/>
          <w:tab w:val="left" w:pos="1800"/>
        </w:tabs>
        <w:suppressAutoHyphens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Veikt tehnisko būvprojektu saskaņošanu un dot savu atzinumu pieņemot objektu ekspluatācijā, savas kompetences ietvaros.</w:t>
      </w:r>
    </w:p>
    <w:p w14:paraId="72C781DE" w14:textId="77777777" w:rsidR="00F214DC" w:rsidRPr="00F214DC" w:rsidRDefault="00F214DC" w:rsidP="005207EF">
      <w:pPr>
        <w:numPr>
          <w:ilvl w:val="0"/>
          <w:numId w:val="1"/>
        </w:numPr>
        <w:tabs>
          <w:tab w:val="clear" w:pos="644"/>
          <w:tab w:val="left" w:pos="1800"/>
        </w:tabs>
        <w:suppressAutoHyphens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Izstrādāt priekšlikumus ar orientējošām izmaksu tāmēm par konkrētiem defektiem (stabu, kabeļu transformatoru u.c. nomaiņu),</w:t>
      </w:r>
    </w:p>
    <w:p w14:paraId="6ACE1AA8" w14:textId="77777777" w:rsidR="00F214DC" w:rsidRPr="00F214DC" w:rsidRDefault="00F214DC" w:rsidP="005207EF">
      <w:pPr>
        <w:numPr>
          <w:ilvl w:val="0"/>
          <w:numId w:val="1"/>
        </w:numPr>
        <w:tabs>
          <w:tab w:val="clear" w:pos="644"/>
          <w:tab w:val="left" w:pos="1800"/>
        </w:tabs>
        <w:suppressAutoHyphens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Izstrādāt priekšlikumus par ielu apgaismojumu tīklu attīstības iespējām, modernizāciju, saskaņā ar S</w:t>
      </w:r>
      <w:r w:rsidR="00FD6B03" w:rsidRPr="00874883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iguldas novada pašvaldības</w:t>
      </w:r>
      <w:r w:rsidRPr="00F214DC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 xml:space="preserve"> Attīstības programmu un citiem plānojuma dokumentiem.</w:t>
      </w:r>
    </w:p>
    <w:p w14:paraId="7FE1865B" w14:textId="77777777" w:rsidR="00F214DC" w:rsidRPr="00C31085" w:rsidRDefault="00F214DC" w:rsidP="005207EF">
      <w:pPr>
        <w:numPr>
          <w:ilvl w:val="0"/>
          <w:numId w:val="1"/>
        </w:numPr>
        <w:tabs>
          <w:tab w:val="clear" w:pos="644"/>
          <w:tab w:val="left" w:pos="1800"/>
        </w:tabs>
        <w:suppressAutoHyphens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 xml:space="preserve">Veikt enerģijas skaitītāju rādījumu nolasīšanu objektos, kur nav automātiskā elektroniskās </w:t>
      </w:r>
      <w:r w:rsidRPr="00C31085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skaitīšanas nolasīšanas sistēma.</w:t>
      </w:r>
    </w:p>
    <w:p w14:paraId="09EC3D7C" w14:textId="24964320" w:rsidR="00F214DC" w:rsidRPr="00C31085" w:rsidRDefault="00F214DC" w:rsidP="005207EF">
      <w:pPr>
        <w:numPr>
          <w:ilvl w:val="0"/>
          <w:numId w:val="1"/>
        </w:numPr>
        <w:tabs>
          <w:tab w:val="clear" w:pos="644"/>
        </w:tabs>
        <w:suppressAutoHyphens/>
        <w:spacing w:before="120" w:after="120" w:line="240" w:lineRule="auto"/>
        <w:ind w:left="270" w:right="-49"/>
        <w:jc w:val="both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  <w:r w:rsidRPr="00C31085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Par veiktajiem darbiem sagatavotu aktu un iesnie</w:t>
      </w:r>
      <w:r w:rsidR="00403E20" w:rsidRPr="00C31085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dz vienu reizi mēnesī</w:t>
      </w:r>
      <w:r w:rsidRPr="00C31085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,</w:t>
      </w:r>
      <w:r w:rsidR="00403E20" w:rsidRPr="00C31085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 xml:space="preserve"> iepirkuma līgumā noteiktajā kārtībā.</w:t>
      </w:r>
    </w:p>
    <w:p w14:paraId="46FF6B3B" w14:textId="4B87B8F6" w:rsidR="00F214DC" w:rsidRPr="00F214DC" w:rsidRDefault="00F214DC" w:rsidP="005207EF">
      <w:pPr>
        <w:numPr>
          <w:ilvl w:val="0"/>
          <w:numId w:val="1"/>
        </w:numPr>
        <w:tabs>
          <w:tab w:val="clear" w:pos="644"/>
          <w:tab w:val="left" w:pos="1800"/>
        </w:tabs>
        <w:suppressAutoHyphens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Ielu apgaismojuma tīkla un iekārtu remonts jāveic, pēc</w:t>
      </w:r>
      <w:r w:rsidR="00403E20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 xml:space="preserve"> rakstveida</w:t>
      </w:r>
      <w:r w:rsidRPr="00F214DC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 xml:space="preserve"> saskaņošanas</w:t>
      </w:r>
      <w:r w:rsidR="00D4224C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 xml:space="preserve"> </w:t>
      </w:r>
      <w:r w:rsidR="00403E20" w:rsidRPr="00403E20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 xml:space="preserve">iepirkuma līgumā norādīto </w:t>
      </w:r>
      <w:r w:rsidRPr="00F214DC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nekustamā īpašuma speciālistu, izņemot avārijas gadījumus un remonta darbu neatliekamu defektu novēršana, informācija apmai</w:t>
      </w:r>
      <w:r w:rsidR="00D4224C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ņ</w:t>
      </w:r>
      <w:r w:rsidRPr="00F214DC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a un saskaņošana notiek elektroniski.</w:t>
      </w:r>
    </w:p>
    <w:p w14:paraId="4FC17E37" w14:textId="3FA7CC8A" w:rsidR="00F214DC" w:rsidRPr="00F214DC" w:rsidRDefault="00F214DC" w:rsidP="005207EF">
      <w:pPr>
        <w:numPr>
          <w:ilvl w:val="0"/>
          <w:numId w:val="1"/>
        </w:numPr>
        <w:tabs>
          <w:tab w:val="clear" w:pos="644"/>
          <w:tab w:val="left" w:pos="1800"/>
        </w:tabs>
        <w:suppressAutoHyphens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 xml:space="preserve">Veikt nepieciešamās tehniskās dokumentācijas glabāšanu, sastādīšanu un saskaņošanu. Pie Uzņēmēja jāatrodas </w:t>
      </w:r>
      <w:r w:rsidR="007D628E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šādai</w:t>
      </w:r>
      <w:r w:rsidRPr="00F214DC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 xml:space="preserve"> ielu apgaismojuma dokumentācijai:</w:t>
      </w:r>
    </w:p>
    <w:p w14:paraId="4D13DE45" w14:textId="023DE831" w:rsidR="00F214DC" w:rsidRPr="00F214DC" w:rsidRDefault="007D628E" w:rsidP="00FD6B03">
      <w:pPr>
        <w:numPr>
          <w:ilvl w:val="1"/>
          <w:numId w:val="1"/>
        </w:numPr>
        <w:tabs>
          <w:tab w:val="left" w:pos="900"/>
        </w:tabs>
        <w:suppressAutoHyphens/>
        <w:spacing w:after="0" w:line="276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p</w:t>
      </w:r>
      <w:r w:rsidR="00F214DC" w:rsidRPr="00F214DC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rojekta dokumentācijai ar ieviestām izmaiņām, kas radušās pie ielu apgaismojuma tīkla izbūves vai pārbūves;</w:t>
      </w:r>
    </w:p>
    <w:p w14:paraId="0E42D230" w14:textId="79690206" w:rsidR="00F214DC" w:rsidRPr="00F214DC" w:rsidRDefault="007D628E" w:rsidP="00FD6B03">
      <w:pPr>
        <w:numPr>
          <w:ilvl w:val="1"/>
          <w:numId w:val="1"/>
        </w:numPr>
        <w:tabs>
          <w:tab w:val="left" w:pos="900"/>
        </w:tabs>
        <w:suppressAutoHyphens/>
        <w:spacing w:after="0" w:line="276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a</w:t>
      </w:r>
      <w:r w:rsidR="00F214DC" w:rsidRPr="00F214DC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ktiem par ielu apgaismojuma iekārtu pieņemšanu ekspluatācijā (kopijas pie Uzņēmēja, oriģināli glabājas pašvaldībā);</w:t>
      </w:r>
    </w:p>
    <w:p w14:paraId="34863C1A" w14:textId="586953A3" w:rsidR="00F214DC" w:rsidRPr="00F214DC" w:rsidRDefault="007D628E" w:rsidP="00FD6B03">
      <w:pPr>
        <w:numPr>
          <w:ilvl w:val="1"/>
          <w:numId w:val="1"/>
        </w:numPr>
        <w:tabs>
          <w:tab w:val="left" w:pos="900"/>
        </w:tabs>
        <w:suppressAutoHyphens/>
        <w:spacing w:after="0" w:line="276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a</w:t>
      </w:r>
      <w:r w:rsidR="00F214DC" w:rsidRPr="00F214DC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 xml:space="preserve">ktiem par segto darbu izpildes pieņemšanu (kopijas pie Uzņēmēja, oriģināli – pie glabājas pašvaldībā; </w:t>
      </w:r>
    </w:p>
    <w:p w14:paraId="1CBC81EC" w14:textId="1E9D8CE7" w:rsidR="00F214DC" w:rsidRPr="00F214DC" w:rsidRDefault="007D628E" w:rsidP="00FD6B03">
      <w:pPr>
        <w:numPr>
          <w:ilvl w:val="1"/>
          <w:numId w:val="1"/>
        </w:numPr>
        <w:tabs>
          <w:tab w:val="left" w:pos="900"/>
        </w:tabs>
        <w:suppressAutoHyphens/>
        <w:spacing w:after="0" w:line="276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i</w:t>
      </w:r>
      <w:r w:rsidR="00F214DC" w:rsidRPr="00F214DC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elu apgaismojuma ekspluatācijas žurnālam.</w:t>
      </w:r>
    </w:p>
    <w:p w14:paraId="06D0F15C" w14:textId="77777777" w:rsidR="00F214DC" w:rsidRPr="00F214DC" w:rsidRDefault="00F214DC" w:rsidP="00F214DC">
      <w:pPr>
        <w:tabs>
          <w:tab w:val="left" w:pos="18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</w:p>
    <w:p w14:paraId="18C819DC" w14:textId="77777777" w:rsidR="00F214DC" w:rsidRPr="00F214DC" w:rsidRDefault="00F214DC" w:rsidP="00F21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</w:p>
    <w:p w14:paraId="4F94D2AE" w14:textId="77777777" w:rsidR="00F214DC" w:rsidRPr="00F214DC" w:rsidRDefault="00F214DC" w:rsidP="00F214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b/>
          <w:sz w:val="24"/>
          <w:szCs w:val="24"/>
          <w:lang w:val="cs-CZ" w:eastAsia="zh-CN"/>
        </w:rPr>
        <w:t>SIGULDAS NOVADA ELEKTROIETAIŠU UN IELU APGAISMOJUMA TĪKLU RAKSTUROJOŠIE LIELUMI</w:t>
      </w:r>
    </w:p>
    <w:p w14:paraId="1B633B2C" w14:textId="77777777" w:rsidR="00F214DC" w:rsidRPr="00F214DC" w:rsidRDefault="00F214DC" w:rsidP="00F214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</w:p>
    <w:p w14:paraId="48E1D848" w14:textId="77777777" w:rsidR="00F214DC" w:rsidRPr="00F214DC" w:rsidRDefault="00F214DC" w:rsidP="00F214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Ielu apgaismojuma tīkli ar kailvadiem      1.2 km.(orientējoši)</w:t>
      </w:r>
    </w:p>
    <w:p w14:paraId="1B331F12" w14:textId="77777777" w:rsidR="00F214DC" w:rsidRPr="00F214DC" w:rsidRDefault="00F214DC" w:rsidP="00F214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Ielu apgaismojuma tīkli ar piekarkabeli    38 km.(orientējoši)</w:t>
      </w:r>
    </w:p>
    <w:p w14:paraId="133BB202" w14:textId="77777777" w:rsidR="00F214DC" w:rsidRPr="00F214DC" w:rsidRDefault="00F214DC" w:rsidP="00F214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Ielu apgaismojuma tīkli ar kabeli līnijām  66 km.(orientējoši)</w:t>
      </w:r>
    </w:p>
    <w:p w14:paraId="7428C09A" w14:textId="77777777" w:rsidR="00F214DC" w:rsidRPr="00F214DC" w:rsidRDefault="00F214DC" w:rsidP="00F214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Lietotāja spēka kabeļu līnijas :                   8.2 km.(orientējoši)</w:t>
      </w:r>
    </w:p>
    <w:p w14:paraId="5A71D7E5" w14:textId="77777777" w:rsidR="00F214DC" w:rsidRPr="00F214DC" w:rsidRDefault="00F214DC" w:rsidP="00F214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</w:p>
    <w:p w14:paraId="5C744115" w14:textId="77777777" w:rsidR="00F214DC" w:rsidRPr="00F214DC" w:rsidRDefault="00F214DC" w:rsidP="00F214DC">
      <w:pPr>
        <w:numPr>
          <w:ilvl w:val="0"/>
          <w:numId w:val="3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Apgaismes ķermeņi</w:t>
      </w:r>
    </w:p>
    <w:p w14:paraId="72F1BB1C" w14:textId="42A7A3A8" w:rsidR="00F214DC" w:rsidRPr="00F214DC" w:rsidRDefault="00F214DC" w:rsidP="00F214DC">
      <w:pPr>
        <w:numPr>
          <w:ilvl w:val="1"/>
          <w:numId w:val="3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Parka apgaismojuma armatūra ar dzīvsudraba spuldžu HGLI 125 W E27</w:t>
      </w:r>
      <w:r w:rsidR="002C34F4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:</w:t>
      </w: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 xml:space="preserve">  orientējoši  2225 gab.</w:t>
      </w:r>
    </w:p>
    <w:p w14:paraId="3EA4245F" w14:textId="2EB615E8" w:rsidR="00F214DC" w:rsidRPr="00F214DC" w:rsidRDefault="00F214DC" w:rsidP="00F214DC">
      <w:pPr>
        <w:numPr>
          <w:ilvl w:val="1"/>
          <w:numId w:val="3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Ielu armatūra ar dzīvsudraba spuldžu DRL E40  250W</w:t>
      </w:r>
      <w:r w:rsidR="002C34F4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:</w:t>
      </w: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 xml:space="preserve">  22 gab. </w:t>
      </w:r>
    </w:p>
    <w:p w14:paraId="3A142C73" w14:textId="77777777" w:rsidR="00F214DC" w:rsidRPr="00F214DC" w:rsidRDefault="00F214DC" w:rsidP="00F214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</w:p>
    <w:p w14:paraId="32FA0CBF" w14:textId="77777777" w:rsidR="00F214DC" w:rsidRPr="00F214DC" w:rsidRDefault="00F214DC" w:rsidP="00F214DC">
      <w:pPr>
        <w:numPr>
          <w:ilvl w:val="0"/>
          <w:numId w:val="3"/>
        </w:numPr>
        <w:suppressAutoHyphens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 xml:space="preserve">Nātrija spuldžu armatūras: </w:t>
      </w:r>
    </w:p>
    <w:p w14:paraId="3DC7D47A" w14:textId="77777777" w:rsidR="00F214DC" w:rsidRPr="00F214DC" w:rsidRDefault="00F214DC" w:rsidP="00F214DC">
      <w:pPr>
        <w:numPr>
          <w:ilvl w:val="1"/>
          <w:numId w:val="3"/>
        </w:numPr>
        <w:suppressAutoHyphens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lastRenderedPageBreak/>
        <w:t>Ielu apgaismojuma armatūra NA 70W E-40: 10 gab.</w:t>
      </w:r>
    </w:p>
    <w:p w14:paraId="362F2509" w14:textId="77777777" w:rsidR="00F214DC" w:rsidRPr="00F214DC" w:rsidRDefault="00F214DC" w:rsidP="00F214DC">
      <w:pPr>
        <w:numPr>
          <w:ilvl w:val="1"/>
          <w:numId w:val="3"/>
        </w:numPr>
        <w:suppressAutoHyphens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 xml:space="preserve">Ielu apgaismojuma armatūra Na 100W  E-40 : 750 gab. </w:t>
      </w:r>
    </w:p>
    <w:p w14:paraId="49ACA682" w14:textId="77777777" w:rsidR="00F214DC" w:rsidRPr="00F214DC" w:rsidRDefault="00F214DC" w:rsidP="00F214DC">
      <w:pPr>
        <w:numPr>
          <w:ilvl w:val="1"/>
          <w:numId w:val="3"/>
        </w:numPr>
        <w:suppressAutoHyphens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 xml:space="preserve">Ielu apgaismojuma armatūra NA 150W  E-40 : 45 gab.   </w:t>
      </w:r>
    </w:p>
    <w:p w14:paraId="7F7C93B4" w14:textId="77777777" w:rsidR="00F214DC" w:rsidRPr="00F214DC" w:rsidRDefault="00F214DC" w:rsidP="00F214DC">
      <w:pPr>
        <w:numPr>
          <w:ilvl w:val="1"/>
          <w:numId w:val="3"/>
        </w:numPr>
        <w:suppressAutoHyphens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 xml:space="preserve">Ielu apgaismojuma armatūra NA 250W E-40 : 38 gab.   </w:t>
      </w:r>
    </w:p>
    <w:p w14:paraId="693B4F5B" w14:textId="77777777" w:rsidR="00F214DC" w:rsidRPr="00F214DC" w:rsidRDefault="00F214DC" w:rsidP="00F214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 xml:space="preserve">                                                                 </w:t>
      </w:r>
    </w:p>
    <w:p w14:paraId="236056B6" w14:textId="77777777" w:rsidR="00F214DC" w:rsidRPr="00F214DC" w:rsidRDefault="00F214DC" w:rsidP="00F214DC">
      <w:pPr>
        <w:numPr>
          <w:ilvl w:val="0"/>
          <w:numId w:val="3"/>
        </w:numPr>
        <w:suppressAutoHyphens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 xml:space="preserve"> Parka apgaismojuma armatūra  Metāla hal. spuldze HCI –ET  70W E-27 : 98 gab.</w:t>
      </w:r>
    </w:p>
    <w:p w14:paraId="41EB593C" w14:textId="77777777" w:rsidR="00F214DC" w:rsidRPr="00F214DC" w:rsidRDefault="00F214DC" w:rsidP="00F214DC">
      <w:pPr>
        <w:numPr>
          <w:ilvl w:val="0"/>
          <w:numId w:val="3"/>
        </w:numPr>
        <w:suppressAutoHyphens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Prožektors Met . hal .150W: 34 gab.</w:t>
      </w:r>
    </w:p>
    <w:p w14:paraId="7CCB39D2" w14:textId="77777777" w:rsidR="00F214DC" w:rsidRPr="00F214DC" w:rsidRDefault="00F214DC" w:rsidP="00F214DC">
      <w:pPr>
        <w:numPr>
          <w:ilvl w:val="0"/>
          <w:numId w:val="3"/>
        </w:numPr>
        <w:suppressAutoHyphens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 xml:space="preserve">Prožektors met. hal. 250W: 44 gab.  </w:t>
      </w:r>
    </w:p>
    <w:p w14:paraId="1B762421" w14:textId="77777777" w:rsidR="00F214DC" w:rsidRPr="00F214DC" w:rsidRDefault="00F214DC" w:rsidP="00F214DC">
      <w:pPr>
        <w:numPr>
          <w:ilvl w:val="0"/>
          <w:numId w:val="3"/>
        </w:numPr>
        <w:suppressAutoHyphens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Prožektors  met.hal.400W: 19 gab.</w:t>
      </w:r>
    </w:p>
    <w:p w14:paraId="1E54BCC3" w14:textId="77777777" w:rsidR="00F214DC" w:rsidRPr="00F214DC" w:rsidRDefault="00F214DC" w:rsidP="00F214DC">
      <w:pPr>
        <w:numPr>
          <w:ilvl w:val="0"/>
          <w:numId w:val="3"/>
        </w:numPr>
        <w:suppressAutoHyphens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85W Relumina E27: 7 gab.(Peldu ielā)</w:t>
      </w:r>
    </w:p>
    <w:p w14:paraId="33DA5637" w14:textId="77777777" w:rsidR="00F214DC" w:rsidRPr="00F214DC" w:rsidRDefault="00F214DC" w:rsidP="00F214DC">
      <w:pPr>
        <w:numPr>
          <w:ilvl w:val="0"/>
          <w:numId w:val="3"/>
        </w:numPr>
        <w:suppressAutoHyphens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 xml:space="preserve">LED gaismekļi: </w:t>
      </w:r>
    </w:p>
    <w:p w14:paraId="5A2A397F" w14:textId="77777777" w:rsidR="00F214DC" w:rsidRPr="00F214DC" w:rsidRDefault="00F214DC" w:rsidP="00F214DC">
      <w:pPr>
        <w:numPr>
          <w:ilvl w:val="1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LED PHILIPS BGP 243 LED100/740: 14 gab.</w:t>
      </w:r>
    </w:p>
    <w:p w14:paraId="20EC9BD9" w14:textId="77777777" w:rsidR="00F214DC" w:rsidRPr="00F214DC" w:rsidRDefault="00F214DC" w:rsidP="00F214DC">
      <w:pPr>
        <w:numPr>
          <w:ilvl w:val="1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TALAS LED 28W:                       40 gab.</w:t>
      </w:r>
    </w:p>
    <w:p w14:paraId="30239E16" w14:textId="77777777" w:rsidR="00F214DC" w:rsidRPr="00F214DC" w:rsidRDefault="00F214DC" w:rsidP="00F214DC">
      <w:pPr>
        <w:numPr>
          <w:ilvl w:val="1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LED prožektori 20W:                     3 gab.</w:t>
      </w:r>
    </w:p>
    <w:p w14:paraId="61748C0E" w14:textId="77777777" w:rsidR="00F214DC" w:rsidRPr="00F214DC" w:rsidRDefault="00F214DC" w:rsidP="00F214DC">
      <w:pPr>
        <w:numPr>
          <w:ilvl w:val="1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LED prožektori 30W:                     5 gab.</w:t>
      </w:r>
    </w:p>
    <w:p w14:paraId="4F2DDBAA" w14:textId="77777777" w:rsidR="00F214DC" w:rsidRPr="00F214DC" w:rsidRDefault="00F214DC" w:rsidP="00F214DC">
      <w:pPr>
        <w:numPr>
          <w:ilvl w:val="1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LED prožektori  50W:                    7 gab.</w:t>
      </w:r>
    </w:p>
    <w:p w14:paraId="2D50D5C9" w14:textId="77777777" w:rsidR="00F214DC" w:rsidRPr="00F214DC" w:rsidRDefault="00F214DC" w:rsidP="00F214DC">
      <w:pPr>
        <w:numPr>
          <w:ilvl w:val="1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LED prožektori  94W:                    9 gab.</w:t>
      </w:r>
    </w:p>
    <w:p w14:paraId="11264F5F" w14:textId="77777777" w:rsidR="00F214DC" w:rsidRPr="00F214DC" w:rsidRDefault="00F214DC" w:rsidP="00F214DC">
      <w:pPr>
        <w:numPr>
          <w:ilvl w:val="1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LED prožektori  46W:                    3 gab.</w:t>
      </w:r>
    </w:p>
    <w:p w14:paraId="05BFB0B4" w14:textId="77777777" w:rsidR="00F214DC" w:rsidRPr="00F214DC" w:rsidRDefault="00F214DC" w:rsidP="00F214DC">
      <w:pPr>
        <w:numPr>
          <w:ilvl w:val="1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LED prožektori  200W:                   6 gab.</w:t>
      </w:r>
    </w:p>
    <w:p w14:paraId="25EA9DEB" w14:textId="77777777" w:rsidR="00F214DC" w:rsidRPr="00F214DC" w:rsidRDefault="00F214DC" w:rsidP="00F214DC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Apgaismojuma pieslēguma vietas:</w:t>
      </w:r>
    </w:p>
    <w:p w14:paraId="34B90083" w14:textId="77777777" w:rsidR="00F214DC" w:rsidRPr="00F214DC" w:rsidRDefault="00F214DC" w:rsidP="00F214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 xml:space="preserve">      9.1. teritoriju apgaismojums:</w:t>
      </w:r>
    </w:p>
    <w:p w14:paraId="385567A6" w14:textId="77777777" w:rsidR="00F214DC" w:rsidRPr="00F214DC" w:rsidRDefault="00F214DC" w:rsidP="00F214DC">
      <w:pPr>
        <w:numPr>
          <w:ilvl w:val="2"/>
          <w:numId w:val="3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Siguldas kapu apgaismojums</w:t>
      </w:r>
    </w:p>
    <w:p w14:paraId="3F761EC6" w14:textId="77777777" w:rsidR="00F214DC" w:rsidRPr="00F214DC" w:rsidRDefault="00F214DC" w:rsidP="00F214DC">
      <w:pPr>
        <w:numPr>
          <w:ilvl w:val="2"/>
          <w:numId w:val="3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PII „Saulīte“ teritorijas apgaismojums</w:t>
      </w:r>
    </w:p>
    <w:p w14:paraId="3187791B" w14:textId="77777777" w:rsidR="00F214DC" w:rsidRPr="00F214DC" w:rsidRDefault="00F214DC" w:rsidP="00F214DC">
      <w:pPr>
        <w:numPr>
          <w:ilvl w:val="2"/>
          <w:numId w:val="3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PII „Ābelīte“ teritorijas apgaismojums</w:t>
      </w:r>
    </w:p>
    <w:p w14:paraId="353DDF38" w14:textId="77777777" w:rsidR="00F214DC" w:rsidRPr="00F214DC" w:rsidRDefault="00F214DC" w:rsidP="00F214DC">
      <w:pPr>
        <w:numPr>
          <w:ilvl w:val="2"/>
          <w:numId w:val="3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PII „Ieviņa“ teritorijas apgaismojums</w:t>
      </w:r>
    </w:p>
    <w:p w14:paraId="21A93C17" w14:textId="77777777" w:rsidR="00F214DC" w:rsidRPr="00F214DC" w:rsidRDefault="00F214DC" w:rsidP="00F214DC">
      <w:pPr>
        <w:numPr>
          <w:ilvl w:val="2"/>
          <w:numId w:val="3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PII „Pīlādzītis“ teritorijas apgaismojums</w:t>
      </w:r>
    </w:p>
    <w:p w14:paraId="7473028A" w14:textId="77777777" w:rsidR="00F214DC" w:rsidRPr="00F214DC" w:rsidRDefault="00F214DC" w:rsidP="00F214DC">
      <w:pPr>
        <w:numPr>
          <w:ilvl w:val="2"/>
          <w:numId w:val="3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PII „Pasaciņa“ teritorijas apgaismojums</w:t>
      </w:r>
    </w:p>
    <w:p w14:paraId="7B354D35" w14:textId="77777777" w:rsidR="00F214DC" w:rsidRPr="00F214DC" w:rsidRDefault="00F214DC" w:rsidP="00F214DC">
      <w:pPr>
        <w:numPr>
          <w:ilvl w:val="2"/>
          <w:numId w:val="3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PII ,, Tornīši “ teritorijas apgaismojums</w:t>
      </w:r>
    </w:p>
    <w:p w14:paraId="46DFEBCE" w14:textId="77777777" w:rsidR="00F214DC" w:rsidRPr="00F214DC" w:rsidRDefault="00F214DC" w:rsidP="00F214DC">
      <w:pPr>
        <w:numPr>
          <w:ilvl w:val="2"/>
          <w:numId w:val="3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Siguldas pagasta pārvaldes apgaismojums</w:t>
      </w:r>
    </w:p>
    <w:p w14:paraId="176619ED" w14:textId="77777777" w:rsidR="00F214DC" w:rsidRPr="00F214DC" w:rsidRDefault="00F214DC" w:rsidP="00F214DC">
      <w:pPr>
        <w:numPr>
          <w:ilvl w:val="2"/>
          <w:numId w:val="3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Allažu pagasta pārvaldes teritorijas apgaismojums</w:t>
      </w:r>
    </w:p>
    <w:p w14:paraId="42FD55A4" w14:textId="77777777" w:rsidR="00F214DC" w:rsidRPr="00F214DC" w:rsidRDefault="00F214DC" w:rsidP="00F214DC">
      <w:pPr>
        <w:numPr>
          <w:ilvl w:val="2"/>
          <w:numId w:val="3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Siguldas Valsts ģimnāzijas teritorijas apgaismojums</w:t>
      </w:r>
    </w:p>
    <w:p w14:paraId="0BCB456E" w14:textId="77777777" w:rsidR="00F214DC" w:rsidRPr="00F214DC" w:rsidRDefault="00F214DC" w:rsidP="00F214DC">
      <w:pPr>
        <w:numPr>
          <w:ilvl w:val="2"/>
          <w:numId w:val="3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Siguldas 1. pamatskolas teritorijas apgaismojums</w:t>
      </w:r>
    </w:p>
    <w:p w14:paraId="10334011" w14:textId="77777777" w:rsidR="00F214DC" w:rsidRPr="00F214DC" w:rsidRDefault="00F214DC" w:rsidP="00F214DC">
      <w:pPr>
        <w:numPr>
          <w:ilvl w:val="2"/>
          <w:numId w:val="3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Siguldas 1 pamatskolas sporta laukuma apgaismojums</w:t>
      </w:r>
    </w:p>
    <w:p w14:paraId="192D7B02" w14:textId="77777777" w:rsidR="00F214DC" w:rsidRPr="00F214DC" w:rsidRDefault="00F214DC" w:rsidP="00F214DC">
      <w:pPr>
        <w:numPr>
          <w:ilvl w:val="2"/>
          <w:numId w:val="3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lastRenderedPageBreak/>
        <w:t>Allažu tautas nama ielu apgaismojums</w:t>
      </w:r>
    </w:p>
    <w:p w14:paraId="00D4C35D" w14:textId="77777777" w:rsidR="00F214DC" w:rsidRPr="00F214DC" w:rsidRDefault="00F214DC" w:rsidP="00F214DC">
      <w:pPr>
        <w:numPr>
          <w:ilvl w:val="2"/>
          <w:numId w:val="3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Siguldas kultūras centra ielu apgaismojums</w:t>
      </w:r>
    </w:p>
    <w:p w14:paraId="7D576CC5" w14:textId="77777777" w:rsidR="00F214DC" w:rsidRPr="00F214DC" w:rsidRDefault="00F214DC" w:rsidP="00F214DC">
      <w:pPr>
        <w:numPr>
          <w:ilvl w:val="2"/>
          <w:numId w:val="3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Allažu sporta centra  un sporta laukuma apgaismojums</w:t>
      </w:r>
    </w:p>
    <w:p w14:paraId="1DF4C54B" w14:textId="77777777" w:rsidR="00F214DC" w:rsidRPr="00F214DC" w:rsidRDefault="00F214DC" w:rsidP="00F214DC">
      <w:pPr>
        <w:numPr>
          <w:ilvl w:val="2"/>
          <w:numId w:val="3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Mākslu skolas ,, Baltais flīgelis “teritorijas stāvlaukums</w:t>
      </w:r>
    </w:p>
    <w:p w14:paraId="524199B3" w14:textId="77777777" w:rsidR="00F214DC" w:rsidRPr="00F214DC" w:rsidRDefault="00F214DC" w:rsidP="00F214DC">
      <w:pPr>
        <w:numPr>
          <w:ilvl w:val="2"/>
          <w:numId w:val="3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Laurenču sākumskolas teritorijas un stāvlaukuma apgaismojums</w:t>
      </w:r>
    </w:p>
    <w:p w14:paraId="39B23E7F" w14:textId="77777777" w:rsidR="00F214DC" w:rsidRPr="00F214DC" w:rsidRDefault="00F214DC" w:rsidP="00F214DC">
      <w:pPr>
        <w:numPr>
          <w:ilvl w:val="2"/>
          <w:numId w:val="3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Jūdažu sabiedriskā centra teritorijas apgaismojums</w:t>
      </w:r>
    </w:p>
    <w:p w14:paraId="06145925" w14:textId="77777777" w:rsidR="00F214DC" w:rsidRPr="00F214DC" w:rsidRDefault="00F214DC" w:rsidP="00F214DC">
      <w:pPr>
        <w:numPr>
          <w:ilvl w:val="2"/>
          <w:numId w:val="3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Siguldas stacijas laukuma ielu apgaismojums</w:t>
      </w:r>
    </w:p>
    <w:p w14:paraId="55AC8D19" w14:textId="77777777" w:rsidR="00F214DC" w:rsidRPr="00F214DC" w:rsidRDefault="00F214DC" w:rsidP="00F214DC">
      <w:pPr>
        <w:numPr>
          <w:ilvl w:val="2"/>
          <w:numId w:val="3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Siguldas novada klientu centra ielu apgaismojums Raiņa 3</w:t>
      </w:r>
    </w:p>
    <w:p w14:paraId="57ADDBCF" w14:textId="77777777" w:rsidR="00F214DC" w:rsidRPr="00F214DC" w:rsidRDefault="00F214DC" w:rsidP="00F214DC">
      <w:pPr>
        <w:numPr>
          <w:ilvl w:val="2"/>
          <w:numId w:val="3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Siguldas pilsdrupu un pils dārza ielu apgaismojums</w:t>
      </w:r>
    </w:p>
    <w:p w14:paraId="43D68B56" w14:textId="77777777" w:rsidR="00F214DC" w:rsidRPr="00F214DC" w:rsidRDefault="00F214DC" w:rsidP="00F214DC">
      <w:pPr>
        <w:numPr>
          <w:ilvl w:val="2"/>
          <w:numId w:val="3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Spieķu parka ielu apgaismojums</w:t>
      </w:r>
    </w:p>
    <w:p w14:paraId="18AC34BE" w14:textId="77777777" w:rsidR="00F214DC" w:rsidRPr="00F214DC" w:rsidRDefault="00F214DC" w:rsidP="00F214DC">
      <w:pPr>
        <w:numPr>
          <w:ilvl w:val="2"/>
          <w:numId w:val="3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 xml:space="preserve">Auto stāvlaukums  ielu apgaismojums Pils iela 14 </w:t>
      </w:r>
    </w:p>
    <w:p w14:paraId="21700FFA" w14:textId="77777777" w:rsidR="00F214DC" w:rsidRPr="00F214DC" w:rsidRDefault="00F214DC" w:rsidP="00F214DC">
      <w:pPr>
        <w:numPr>
          <w:ilvl w:val="2"/>
          <w:numId w:val="3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Seitparka  ielu apgaismojums</w:t>
      </w:r>
    </w:p>
    <w:p w14:paraId="6321B113" w14:textId="77777777" w:rsidR="00F214DC" w:rsidRPr="00F214DC" w:rsidRDefault="00F214DC" w:rsidP="00F214DC">
      <w:pPr>
        <w:numPr>
          <w:ilvl w:val="2"/>
          <w:numId w:val="3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Allažu pagasta pārvaldes ielu apgaismojums.</w:t>
      </w:r>
    </w:p>
    <w:p w14:paraId="1E931C24" w14:textId="77777777" w:rsidR="00F214DC" w:rsidRPr="00F214DC" w:rsidRDefault="00F214DC" w:rsidP="00F214DC">
      <w:pPr>
        <w:numPr>
          <w:ilvl w:val="2"/>
          <w:numId w:val="3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Ģūtmaņalas stāvlaukuma ielu apgaismojums</w:t>
      </w:r>
    </w:p>
    <w:p w14:paraId="0CAB5CAF" w14:textId="77777777" w:rsidR="00F214DC" w:rsidRPr="00F214DC" w:rsidRDefault="00F214DC" w:rsidP="00F214DC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9.2. Siguldas pilsētas ielu apgaismojuma ieslēgšanas vietas:</w:t>
      </w:r>
    </w:p>
    <w:p w14:paraId="250F639E" w14:textId="77777777" w:rsidR="00F214DC" w:rsidRPr="00F214DC" w:rsidRDefault="00F214DC" w:rsidP="00F214DC">
      <w:pPr>
        <w:numPr>
          <w:ilvl w:val="2"/>
          <w:numId w:val="4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Pils iela 16            TP-8318</w:t>
      </w:r>
    </w:p>
    <w:p w14:paraId="5A6D6729" w14:textId="77777777" w:rsidR="00F214DC" w:rsidRPr="00F214DC" w:rsidRDefault="00F214DC" w:rsidP="00F214DC">
      <w:pPr>
        <w:numPr>
          <w:ilvl w:val="2"/>
          <w:numId w:val="4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Pīpeņu  iela           TP-8321</w:t>
      </w:r>
    </w:p>
    <w:p w14:paraId="321B63AA" w14:textId="77777777" w:rsidR="00F214DC" w:rsidRPr="00F214DC" w:rsidRDefault="00F214DC" w:rsidP="00F214DC">
      <w:pPr>
        <w:numPr>
          <w:ilvl w:val="2"/>
          <w:numId w:val="4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Kaķīškalns            TP-8625</w:t>
      </w:r>
    </w:p>
    <w:p w14:paraId="5FCB4D71" w14:textId="77777777" w:rsidR="00F214DC" w:rsidRPr="00F214DC" w:rsidRDefault="00F214DC" w:rsidP="00F214DC">
      <w:pPr>
        <w:numPr>
          <w:ilvl w:val="2"/>
          <w:numId w:val="4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Kalna iela              TP-8632</w:t>
      </w:r>
    </w:p>
    <w:p w14:paraId="1566DC58" w14:textId="77777777" w:rsidR="00F214DC" w:rsidRPr="00F214DC" w:rsidRDefault="00F214DC" w:rsidP="00F214DC">
      <w:pPr>
        <w:numPr>
          <w:ilvl w:val="2"/>
          <w:numId w:val="4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Jaunatnes iela        TP-8609</w:t>
      </w:r>
    </w:p>
    <w:p w14:paraId="261FCBDA" w14:textId="77777777" w:rsidR="00F214DC" w:rsidRPr="00F214DC" w:rsidRDefault="00F214DC" w:rsidP="00F214DC">
      <w:pPr>
        <w:numPr>
          <w:ilvl w:val="2"/>
          <w:numId w:val="4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J. Čakstes iela       TP-9505</w:t>
      </w:r>
    </w:p>
    <w:p w14:paraId="2CDC204C" w14:textId="77777777" w:rsidR="00F214DC" w:rsidRPr="00F214DC" w:rsidRDefault="00F214DC" w:rsidP="00F214DC">
      <w:pPr>
        <w:numPr>
          <w:ilvl w:val="2"/>
          <w:numId w:val="4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P. Brieža iela-1     TP-8602</w:t>
      </w:r>
    </w:p>
    <w:p w14:paraId="13CFBCA2" w14:textId="77777777" w:rsidR="00F214DC" w:rsidRPr="00F214DC" w:rsidRDefault="00F214DC" w:rsidP="00F214DC">
      <w:pPr>
        <w:numPr>
          <w:ilvl w:val="2"/>
          <w:numId w:val="4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Dārza iela             TP-8322</w:t>
      </w:r>
    </w:p>
    <w:p w14:paraId="23844F19" w14:textId="77777777" w:rsidR="00F214DC" w:rsidRPr="00F214DC" w:rsidRDefault="00F214DC" w:rsidP="00F214DC">
      <w:pPr>
        <w:numPr>
          <w:ilvl w:val="2"/>
          <w:numId w:val="4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O. Kalpaka iela     TP-9504</w:t>
      </w:r>
    </w:p>
    <w:p w14:paraId="25DB270F" w14:textId="77777777" w:rsidR="00F214DC" w:rsidRPr="00F214DC" w:rsidRDefault="00F214DC" w:rsidP="00F214DC">
      <w:pPr>
        <w:numPr>
          <w:ilvl w:val="2"/>
          <w:numId w:val="4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Ziedu iela              TP-8317</w:t>
      </w:r>
    </w:p>
    <w:p w14:paraId="63762E08" w14:textId="77777777" w:rsidR="00F214DC" w:rsidRPr="00F214DC" w:rsidRDefault="00F214DC" w:rsidP="00F214DC">
      <w:pPr>
        <w:numPr>
          <w:ilvl w:val="2"/>
          <w:numId w:val="4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P. Brieža iela-2      TP-8607</w:t>
      </w:r>
    </w:p>
    <w:p w14:paraId="47D0E2F7" w14:textId="77777777" w:rsidR="00F214DC" w:rsidRPr="00F214DC" w:rsidRDefault="00F214DC" w:rsidP="00F214DC">
      <w:pPr>
        <w:numPr>
          <w:ilvl w:val="2"/>
          <w:numId w:val="4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Lakstīgalas iela      TP-9506</w:t>
      </w:r>
    </w:p>
    <w:p w14:paraId="339FF373" w14:textId="77777777" w:rsidR="00F214DC" w:rsidRPr="00F214DC" w:rsidRDefault="00F214DC" w:rsidP="00F214DC">
      <w:pPr>
        <w:numPr>
          <w:ilvl w:val="2"/>
          <w:numId w:val="4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K. Barona iela        TP-9503</w:t>
      </w:r>
    </w:p>
    <w:p w14:paraId="1A4B54D4" w14:textId="77777777" w:rsidR="00F214DC" w:rsidRPr="00F214DC" w:rsidRDefault="00F214DC" w:rsidP="00F214DC">
      <w:pPr>
        <w:numPr>
          <w:ilvl w:val="2"/>
          <w:numId w:val="4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lastRenderedPageBreak/>
        <w:t>Atbrīvotāju iela      TP-8327</w:t>
      </w:r>
    </w:p>
    <w:p w14:paraId="5701F885" w14:textId="77777777" w:rsidR="00F214DC" w:rsidRPr="00F214DC" w:rsidRDefault="00F214DC" w:rsidP="00F214DC">
      <w:pPr>
        <w:numPr>
          <w:ilvl w:val="2"/>
          <w:numId w:val="4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Gaismas iela          TP-8315</w:t>
      </w:r>
    </w:p>
    <w:p w14:paraId="01A7E64E" w14:textId="77777777" w:rsidR="00F214DC" w:rsidRPr="00F214DC" w:rsidRDefault="00F214DC" w:rsidP="00F214DC">
      <w:pPr>
        <w:numPr>
          <w:ilvl w:val="2"/>
          <w:numId w:val="4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Strēlnieku iela        TP-8611</w:t>
      </w:r>
    </w:p>
    <w:p w14:paraId="213AE59A" w14:textId="77777777" w:rsidR="00F214DC" w:rsidRPr="00F214DC" w:rsidRDefault="00F214DC" w:rsidP="00F214DC">
      <w:pPr>
        <w:numPr>
          <w:ilvl w:val="2"/>
          <w:numId w:val="4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Vainagu iela           TP-8610</w:t>
      </w:r>
    </w:p>
    <w:p w14:paraId="6B86FF50" w14:textId="77777777" w:rsidR="00F214DC" w:rsidRPr="00F214DC" w:rsidRDefault="00F214DC" w:rsidP="00F214DC">
      <w:pPr>
        <w:numPr>
          <w:ilvl w:val="2"/>
          <w:numId w:val="4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Baznīcas iela         ( vadības sadale pie  dīķa  )</w:t>
      </w:r>
    </w:p>
    <w:p w14:paraId="34FD9883" w14:textId="77777777" w:rsidR="00F214DC" w:rsidRPr="00F214DC" w:rsidRDefault="00F214DC" w:rsidP="00F214DC">
      <w:pPr>
        <w:numPr>
          <w:ilvl w:val="2"/>
          <w:numId w:val="4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Institūts-2                TP-8623</w:t>
      </w:r>
    </w:p>
    <w:p w14:paraId="7FD09FCB" w14:textId="77777777" w:rsidR="00F214DC" w:rsidRPr="00F214DC" w:rsidRDefault="00F214DC" w:rsidP="00F214DC">
      <w:pPr>
        <w:numPr>
          <w:ilvl w:val="2"/>
          <w:numId w:val="4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Zinātnes un Instituta ielu krustojums TP-9303</w:t>
      </w:r>
    </w:p>
    <w:p w14:paraId="018F3685" w14:textId="77777777" w:rsidR="00F214DC" w:rsidRPr="00F214DC" w:rsidRDefault="00F214DC" w:rsidP="00F214DC">
      <w:pPr>
        <w:numPr>
          <w:ilvl w:val="2"/>
          <w:numId w:val="4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Institūts-1                 TP-9303</w:t>
      </w:r>
    </w:p>
    <w:p w14:paraId="6E2B44E3" w14:textId="77777777" w:rsidR="00F214DC" w:rsidRPr="00F214DC" w:rsidRDefault="00F214DC" w:rsidP="00F214DC">
      <w:pPr>
        <w:numPr>
          <w:ilvl w:val="2"/>
          <w:numId w:val="4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Helmaņa iela            TP-8603</w:t>
      </w:r>
    </w:p>
    <w:p w14:paraId="0CFE97A1" w14:textId="77777777" w:rsidR="00F214DC" w:rsidRPr="00F214DC" w:rsidRDefault="00F214DC" w:rsidP="00F214DC">
      <w:pPr>
        <w:numPr>
          <w:ilvl w:val="2"/>
          <w:numId w:val="4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Ķipari                       TP-8339</w:t>
      </w:r>
    </w:p>
    <w:p w14:paraId="1E0BAE5E" w14:textId="77777777" w:rsidR="00F214DC" w:rsidRPr="00F214DC" w:rsidRDefault="00F214DC" w:rsidP="00F214DC">
      <w:pPr>
        <w:numPr>
          <w:ilvl w:val="2"/>
          <w:numId w:val="4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Peldu ielā                  TP-8310</w:t>
      </w:r>
    </w:p>
    <w:p w14:paraId="412D0C70" w14:textId="77777777" w:rsidR="00F214DC" w:rsidRPr="00F214DC" w:rsidRDefault="00F214DC" w:rsidP="00F214DC">
      <w:pPr>
        <w:numPr>
          <w:ilvl w:val="2"/>
          <w:numId w:val="4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J. Poruka iela            TP-8308</w:t>
      </w:r>
    </w:p>
    <w:p w14:paraId="7842F8AE" w14:textId="77777777" w:rsidR="00F214DC" w:rsidRPr="00F214DC" w:rsidRDefault="00F214DC" w:rsidP="00F214DC">
      <w:pPr>
        <w:numPr>
          <w:ilvl w:val="2"/>
          <w:numId w:val="4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Krimuldas iela          TP - 2863         Krimuldas sanatorija</w:t>
      </w:r>
    </w:p>
    <w:p w14:paraId="3C4B1CCE" w14:textId="77777777" w:rsidR="00F214DC" w:rsidRPr="00F214DC" w:rsidRDefault="00F214DC" w:rsidP="00F214DC">
      <w:pPr>
        <w:numPr>
          <w:ilvl w:val="2"/>
          <w:numId w:val="4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Strauta ielas              TP-9319</w:t>
      </w:r>
    </w:p>
    <w:p w14:paraId="289CCC66" w14:textId="77777777" w:rsidR="00F214DC" w:rsidRPr="00F214DC" w:rsidRDefault="00F214DC" w:rsidP="00F214DC">
      <w:pPr>
        <w:numPr>
          <w:ilvl w:val="2"/>
          <w:numId w:val="4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Ventas iela                TP-9302</w:t>
      </w:r>
    </w:p>
    <w:p w14:paraId="225A3C6C" w14:textId="77777777" w:rsidR="00F214DC" w:rsidRPr="00F214DC" w:rsidRDefault="00F214DC" w:rsidP="00F214DC">
      <w:pPr>
        <w:numPr>
          <w:ilvl w:val="2"/>
          <w:numId w:val="4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More-1                      TP – 2813</w:t>
      </w:r>
    </w:p>
    <w:p w14:paraId="7ACCCD21" w14:textId="77777777" w:rsidR="00F214DC" w:rsidRPr="00F214DC" w:rsidRDefault="00F214DC" w:rsidP="00F214DC">
      <w:pPr>
        <w:numPr>
          <w:ilvl w:val="2"/>
          <w:numId w:val="4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 xml:space="preserve">More Siguldas ielā 5-8 </w:t>
      </w:r>
    </w:p>
    <w:p w14:paraId="1DE65949" w14:textId="77777777" w:rsidR="00F214DC" w:rsidRPr="00F214DC" w:rsidRDefault="00F214DC" w:rsidP="00F214DC">
      <w:pPr>
        <w:numPr>
          <w:ilvl w:val="2"/>
          <w:numId w:val="4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Jūdaži                          TP-9216</w:t>
      </w:r>
    </w:p>
    <w:p w14:paraId="28FC0762" w14:textId="77777777" w:rsidR="00F214DC" w:rsidRPr="00F214DC" w:rsidRDefault="00F214DC" w:rsidP="00F214DC">
      <w:pPr>
        <w:numPr>
          <w:ilvl w:val="2"/>
          <w:numId w:val="4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Ciemats ,,Sintijas“       TP-9314</w:t>
      </w:r>
    </w:p>
    <w:p w14:paraId="67B4077A" w14:textId="77777777" w:rsidR="00F214DC" w:rsidRPr="00F214DC" w:rsidRDefault="00F214DC" w:rsidP="00F214DC">
      <w:pPr>
        <w:numPr>
          <w:ilvl w:val="2"/>
          <w:numId w:val="4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Allaži cenrā                 TP-8015</w:t>
      </w:r>
    </w:p>
    <w:p w14:paraId="008FBB1A" w14:textId="77777777" w:rsidR="00F214DC" w:rsidRPr="00F214DC" w:rsidRDefault="00F214DC" w:rsidP="00F214DC">
      <w:pPr>
        <w:numPr>
          <w:ilvl w:val="2"/>
          <w:numId w:val="4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Allažmuiža, Alažu pagasts ( vadības sadale pie ceļa)</w:t>
      </w:r>
    </w:p>
    <w:p w14:paraId="25097784" w14:textId="77777777" w:rsidR="00F214DC" w:rsidRPr="00F214DC" w:rsidRDefault="00F214DC" w:rsidP="00F214DC">
      <w:pPr>
        <w:numPr>
          <w:ilvl w:val="2"/>
          <w:numId w:val="4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Stīveri Allaži pagasts      TP-8028</w:t>
      </w:r>
    </w:p>
    <w:p w14:paraId="773AB6BA" w14:textId="77777777" w:rsidR="00F214DC" w:rsidRPr="00F214DC" w:rsidRDefault="00F214DC" w:rsidP="00F214DC">
      <w:pPr>
        <w:numPr>
          <w:ilvl w:val="2"/>
          <w:numId w:val="4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Siguldas svētku laukums  Leona Pegles ielā 21 TP- 8324</w:t>
      </w:r>
    </w:p>
    <w:p w14:paraId="2280F69E" w14:textId="77777777" w:rsidR="00F214DC" w:rsidRPr="00F214DC" w:rsidRDefault="00F214DC" w:rsidP="00F214DC">
      <w:pPr>
        <w:numPr>
          <w:ilvl w:val="2"/>
          <w:numId w:val="4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Allažu pagasta pārvalde</w:t>
      </w:r>
    </w:p>
    <w:p w14:paraId="4881E2FD" w14:textId="77777777" w:rsidR="00F214DC" w:rsidRPr="00F214DC" w:rsidRDefault="00F214DC" w:rsidP="00F214DC">
      <w:pPr>
        <w:numPr>
          <w:ilvl w:val="2"/>
          <w:numId w:val="4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 xml:space="preserve">Siguldas pagasta pārvalde </w:t>
      </w:r>
    </w:p>
    <w:p w14:paraId="39EDEAB6" w14:textId="77777777" w:rsidR="00F214DC" w:rsidRPr="00F214DC" w:rsidRDefault="00F214DC" w:rsidP="00F214DC">
      <w:pPr>
        <w:numPr>
          <w:ilvl w:val="2"/>
          <w:numId w:val="4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 xml:space="preserve">Allažu tautas nams </w:t>
      </w:r>
    </w:p>
    <w:p w14:paraId="77522A0C" w14:textId="77777777" w:rsidR="00F214DC" w:rsidRPr="00F214DC" w:rsidRDefault="00F214DC" w:rsidP="00F214DC">
      <w:pPr>
        <w:numPr>
          <w:ilvl w:val="2"/>
          <w:numId w:val="4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 xml:space="preserve">Allažu sporta centrs </w:t>
      </w:r>
    </w:p>
    <w:p w14:paraId="2623F7B6" w14:textId="77777777" w:rsidR="00F214DC" w:rsidRPr="00F214DC" w:rsidRDefault="00F214DC" w:rsidP="00F214DC">
      <w:pPr>
        <w:numPr>
          <w:ilvl w:val="2"/>
          <w:numId w:val="4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lastRenderedPageBreak/>
        <w:t>Sigulda Gūtmaņalas laukums</w:t>
      </w:r>
    </w:p>
    <w:p w14:paraId="4CE2C394" w14:textId="77777777" w:rsidR="00F214DC" w:rsidRPr="00F214DC" w:rsidRDefault="00F214DC" w:rsidP="00F214DC">
      <w:pPr>
        <w:numPr>
          <w:ilvl w:val="2"/>
          <w:numId w:val="4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Skeitparks Raiņa parkā</w:t>
      </w:r>
    </w:p>
    <w:p w14:paraId="3275E307" w14:textId="77777777" w:rsidR="00F214DC" w:rsidRPr="00F214DC" w:rsidRDefault="00F214DC" w:rsidP="00F214DC">
      <w:pPr>
        <w:numPr>
          <w:ilvl w:val="2"/>
          <w:numId w:val="4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Siguldas 1 pamatskolas sporta laukums</w:t>
      </w:r>
    </w:p>
    <w:p w14:paraId="6F934A59" w14:textId="77777777" w:rsidR="00F214DC" w:rsidRPr="00F214DC" w:rsidRDefault="00F214DC" w:rsidP="00F214DC">
      <w:pPr>
        <w:numPr>
          <w:ilvl w:val="2"/>
          <w:numId w:val="4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Sigulda Rīgas iela 1  ekas fasādes apgaismojums</w:t>
      </w:r>
    </w:p>
    <w:p w14:paraId="00982B20" w14:textId="77777777" w:rsidR="00F214DC" w:rsidRPr="00F214DC" w:rsidRDefault="00F214DC" w:rsidP="00F214DC">
      <w:pPr>
        <w:numPr>
          <w:ilvl w:val="2"/>
          <w:numId w:val="4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 xml:space="preserve">Pakalpojumu centrs, Raiņa iela 3, Sigulda </w:t>
      </w:r>
    </w:p>
    <w:p w14:paraId="68BB2897" w14:textId="77777777" w:rsidR="00F214DC" w:rsidRPr="00F214DC" w:rsidRDefault="00F214DC" w:rsidP="00F214DC">
      <w:pPr>
        <w:numPr>
          <w:ilvl w:val="2"/>
          <w:numId w:val="4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Siguldas kapu teritorijas apgaismojums</w:t>
      </w:r>
    </w:p>
    <w:p w14:paraId="6F110B03" w14:textId="77777777" w:rsidR="00F214DC" w:rsidRPr="00F214DC" w:rsidRDefault="00F214DC" w:rsidP="00F214DC">
      <w:pPr>
        <w:numPr>
          <w:ilvl w:val="2"/>
          <w:numId w:val="4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Bērnu laukums Pulkveža Brieža iela 24, Jaunatnes iela 1, Sigulda</w:t>
      </w:r>
    </w:p>
    <w:p w14:paraId="7BE05571" w14:textId="77777777" w:rsidR="00F214DC" w:rsidRPr="00F214DC" w:rsidRDefault="00F214DC" w:rsidP="00F214DC">
      <w:pPr>
        <w:numPr>
          <w:ilvl w:val="2"/>
          <w:numId w:val="4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Autoceļš P8 – Pelītes, Siguldas pagasts .</w:t>
      </w:r>
    </w:p>
    <w:p w14:paraId="683ACADB" w14:textId="77777777" w:rsidR="00F214DC" w:rsidRPr="00F214DC" w:rsidRDefault="00F214DC" w:rsidP="00F21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zh-CN"/>
        </w:rPr>
      </w:pPr>
      <w:r w:rsidRPr="00F214DC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zh-CN"/>
        </w:rPr>
        <w:br w:type="page"/>
      </w:r>
    </w:p>
    <w:p w14:paraId="328528AC" w14:textId="77777777" w:rsidR="00F214DC" w:rsidRPr="00F214DC" w:rsidRDefault="00F214DC" w:rsidP="00F214DC">
      <w:pPr>
        <w:tabs>
          <w:tab w:val="left" w:pos="319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zh-CN"/>
        </w:rPr>
      </w:pPr>
      <w:r w:rsidRPr="00F214DC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zh-CN"/>
        </w:rPr>
        <w:lastRenderedPageBreak/>
        <w:t>GAISMAS ĶERMEŅU NOMAIŅAS PLĀNS</w:t>
      </w:r>
    </w:p>
    <w:tbl>
      <w:tblPr>
        <w:tblW w:w="8065" w:type="dxa"/>
        <w:tblInd w:w="742" w:type="dxa"/>
        <w:tblLook w:val="0000" w:firstRow="0" w:lastRow="0" w:firstColumn="0" w:lastColumn="0" w:noHBand="0" w:noVBand="0"/>
      </w:tblPr>
      <w:tblGrid>
        <w:gridCol w:w="1112"/>
        <w:gridCol w:w="1112"/>
        <w:gridCol w:w="2834"/>
        <w:gridCol w:w="1072"/>
        <w:gridCol w:w="999"/>
        <w:gridCol w:w="999"/>
      </w:tblGrid>
      <w:tr w:rsidR="00F214DC" w:rsidRPr="00F214DC" w14:paraId="4B1B6661" w14:textId="77777777" w:rsidTr="000502C8">
        <w:trPr>
          <w:trHeight w:val="1331"/>
        </w:trPr>
        <w:tc>
          <w:tcPr>
            <w:tcW w:w="5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624A7" w14:textId="77777777" w:rsidR="00F214DC" w:rsidRPr="00F214DC" w:rsidRDefault="00F214DC" w:rsidP="00F21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F214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 xml:space="preserve">Spuldžu tips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8F02A" w14:textId="77777777" w:rsidR="00F214DC" w:rsidRPr="00F92B0D" w:rsidRDefault="00F214DC" w:rsidP="00F21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zh-CN"/>
              </w:rPr>
            </w:pPr>
            <w:r w:rsidRPr="00F92B0D">
              <w:rPr>
                <w:rFonts w:ascii="Times New Roman" w:eastAsia="Times New Roman" w:hAnsi="Times New Roman" w:cs="Times New Roman"/>
                <w:lang w:val="lv-LV" w:eastAsia="zh-CN"/>
              </w:rPr>
              <w:t xml:space="preserve">Armatūru skaits Siguldas novadā, gab.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23866" w14:textId="77777777" w:rsidR="00F214DC" w:rsidRPr="00F92B0D" w:rsidRDefault="00F214DC" w:rsidP="00F21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zh-CN"/>
              </w:rPr>
            </w:pPr>
            <w:r w:rsidRPr="00F92B0D">
              <w:rPr>
                <w:rFonts w:ascii="Times New Roman" w:eastAsia="Times New Roman" w:hAnsi="Times New Roman" w:cs="Times New Roman"/>
                <w:lang w:val="lv-LV" w:eastAsia="zh-CN"/>
              </w:rPr>
              <w:t xml:space="preserve"> Plānots nomainīt vienā gadā, %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A8349" w14:textId="77777777" w:rsidR="00F214DC" w:rsidRPr="00F92B0D" w:rsidRDefault="00F214DC" w:rsidP="00F21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zh-CN"/>
              </w:rPr>
            </w:pPr>
            <w:r w:rsidRPr="00F92B0D">
              <w:rPr>
                <w:rFonts w:ascii="Times New Roman" w:eastAsia="Times New Roman" w:hAnsi="Times New Roman" w:cs="Times New Roman"/>
                <w:lang w:val="lv-LV" w:eastAsia="zh-CN"/>
              </w:rPr>
              <w:t xml:space="preserve"> Plānots nomainīt vienā gadā, gab. </w:t>
            </w:r>
          </w:p>
        </w:tc>
      </w:tr>
      <w:tr w:rsidR="00F214DC" w:rsidRPr="00F214DC" w14:paraId="5BD49494" w14:textId="77777777" w:rsidTr="000502C8">
        <w:trPr>
          <w:trHeight w:val="255"/>
        </w:trPr>
        <w:tc>
          <w:tcPr>
            <w:tcW w:w="2224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75336F6D" w14:textId="77777777" w:rsidR="00F214DC" w:rsidRPr="00F214DC" w:rsidRDefault="00F214DC" w:rsidP="00F214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F214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Dzīvsudraba spuldzes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6A0C8" w14:textId="6638DE53" w:rsidR="00F214DC" w:rsidRPr="00F214DC" w:rsidRDefault="00F214DC" w:rsidP="002C34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F214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 xml:space="preserve">125 W Bojāto spuldžu nomaiņai izmantot </w:t>
            </w:r>
            <w:r w:rsidR="002C3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 w:eastAsia="zh-CN"/>
              </w:rPr>
              <w:t>OSRAM HQL LED 46 W/ 4000 K E27</w:t>
            </w:r>
            <w:r w:rsidRPr="00F21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 w:eastAsia="zh-CN"/>
              </w:rPr>
              <w:t xml:space="preserve"> vai ekvivalentas, </w:t>
            </w:r>
            <w:r w:rsidRPr="00F214DC">
              <w:rPr>
                <w:rFonts w:ascii="Times New Roman" w:eastAsia="Times New Roman" w:hAnsi="Times New Roman" w:cs="Times New Roman"/>
                <w:sz w:val="24"/>
                <w:szCs w:val="24"/>
                <w:lang w:val="cs-CZ" w:eastAsia="zh-CN"/>
              </w:rPr>
              <w:t>kuru izmantošana ir atļauta ES valstīs un ir CE marķējums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2FFFC" w14:textId="77777777" w:rsidR="00F214DC" w:rsidRPr="00F214DC" w:rsidRDefault="00F214DC" w:rsidP="00F21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F214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2225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32C88" w14:textId="77777777" w:rsidR="00F214DC" w:rsidRPr="00F214DC" w:rsidRDefault="00F214DC" w:rsidP="00F214D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F214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22,5%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029E8" w14:textId="77777777" w:rsidR="00F214DC" w:rsidRPr="00F214DC" w:rsidRDefault="00F214DC" w:rsidP="00F214D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F214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500</w:t>
            </w:r>
          </w:p>
        </w:tc>
      </w:tr>
      <w:tr w:rsidR="00F214DC" w:rsidRPr="00F214DC" w14:paraId="271AEA57" w14:textId="77777777" w:rsidTr="000502C8">
        <w:trPr>
          <w:trHeight w:val="255"/>
        </w:trPr>
        <w:tc>
          <w:tcPr>
            <w:tcW w:w="2224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4CFCE" w14:textId="77777777" w:rsidR="00F214DC" w:rsidRPr="00F214DC" w:rsidRDefault="00F214DC" w:rsidP="00F214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4C3BE" w14:textId="77777777" w:rsidR="00F214DC" w:rsidRPr="00F214DC" w:rsidRDefault="00F214DC" w:rsidP="00F21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F214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 xml:space="preserve">250 W  Nomainīt darbības laikā </w:t>
            </w:r>
            <w:r w:rsidRPr="00F21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 w:eastAsia="zh-CN"/>
              </w:rPr>
              <w:t xml:space="preserve">uz PHILIPS Lighting UniStreet BGS 243LED –HB-4S-740 I DM11 CLO D9 48/60A jeb ekvivalentām, </w:t>
            </w:r>
            <w:r w:rsidRPr="00F214DC">
              <w:rPr>
                <w:rFonts w:ascii="Times New Roman" w:eastAsia="Times New Roman" w:hAnsi="Times New Roman" w:cs="Times New Roman"/>
                <w:sz w:val="24"/>
                <w:szCs w:val="24"/>
                <w:lang w:val="cs-CZ" w:eastAsia="zh-CN"/>
              </w:rPr>
              <w:t>kuru izmantošana ir atļauta ES valstīs un ir CE marķējums</w:t>
            </w:r>
            <w:r w:rsidRPr="00F214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 xml:space="preserve">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60274" w14:textId="77777777" w:rsidR="00F214DC" w:rsidRPr="00F214DC" w:rsidRDefault="00F214DC" w:rsidP="00F21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F214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8D8FB" w14:textId="77777777" w:rsidR="00F214DC" w:rsidRPr="00F214DC" w:rsidRDefault="00F214DC" w:rsidP="00F214D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F214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100%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901E7" w14:textId="77777777" w:rsidR="00F214DC" w:rsidRPr="00F214DC" w:rsidRDefault="00F214DC" w:rsidP="00F214D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F214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22</w:t>
            </w:r>
          </w:p>
        </w:tc>
      </w:tr>
      <w:tr w:rsidR="00F214DC" w:rsidRPr="00F214DC" w14:paraId="62719BD3" w14:textId="77777777" w:rsidTr="000502C8">
        <w:trPr>
          <w:trHeight w:val="255"/>
        </w:trPr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CC2E7" w14:textId="77777777" w:rsidR="00F214DC" w:rsidRPr="00F214DC" w:rsidRDefault="00F214DC" w:rsidP="00F214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DF3B4" w14:textId="77777777" w:rsidR="00F214DC" w:rsidRPr="00F214DC" w:rsidRDefault="00F214DC" w:rsidP="00F21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F214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Gāzizlādes spuldze 85W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B2DC9" w14:textId="77777777" w:rsidR="00F214DC" w:rsidRPr="00F214DC" w:rsidRDefault="00F214DC" w:rsidP="00F21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F214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85959" w14:textId="77777777" w:rsidR="00F214DC" w:rsidRPr="00F214DC" w:rsidRDefault="00F214DC" w:rsidP="00F214D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F214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50%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8A9AA" w14:textId="77777777" w:rsidR="00F214DC" w:rsidRPr="00F214DC" w:rsidRDefault="00F214DC" w:rsidP="00F214D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F214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7</w:t>
            </w:r>
          </w:p>
        </w:tc>
      </w:tr>
      <w:tr w:rsidR="00F214DC" w:rsidRPr="00F214DC" w14:paraId="634A03BF" w14:textId="77777777" w:rsidTr="000502C8">
        <w:trPr>
          <w:trHeight w:val="255"/>
        </w:trPr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3C8EA" w14:textId="77777777" w:rsidR="00F214DC" w:rsidRPr="00F214DC" w:rsidRDefault="00F214DC" w:rsidP="00F214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F214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 xml:space="preserve"> Nātrija spuldzes 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F9BFC" w14:textId="77777777" w:rsidR="00F214DC" w:rsidRPr="00F214DC" w:rsidRDefault="00F214DC" w:rsidP="00F21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F214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Nātrija gaismas ķermeņi 70 W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010B9" w14:textId="77777777" w:rsidR="00F214DC" w:rsidRPr="00F214DC" w:rsidRDefault="00F214DC" w:rsidP="00F21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F214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E84EB" w14:textId="77777777" w:rsidR="00F214DC" w:rsidRPr="00F214DC" w:rsidRDefault="00F214DC" w:rsidP="00F214D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F214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50%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DDAA7" w14:textId="77777777" w:rsidR="00F214DC" w:rsidRPr="00F214DC" w:rsidRDefault="00F214DC" w:rsidP="00F214D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F214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5</w:t>
            </w:r>
          </w:p>
        </w:tc>
      </w:tr>
      <w:tr w:rsidR="00F214DC" w:rsidRPr="00F214DC" w14:paraId="1C3C7851" w14:textId="77777777" w:rsidTr="000502C8">
        <w:trPr>
          <w:trHeight w:val="255"/>
        </w:trPr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E9061" w14:textId="77777777" w:rsidR="00F214DC" w:rsidRPr="00F214DC" w:rsidRDefault="00F214DC" w:rsidP="00F214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F214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5927B" w14:textId="77777777" w:rsidR="00F214DC" w:rsidRPr="00F214DC" w:rsidRDefault="00F214DC" w:rsidP="00F214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17031" w14:textId="77777777" w:rsidR="00F214DC" w:rsidRPr="00F214DC" w:rsidRDefault="00F214DC" w:rsidP="00F21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F214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100 W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9FD37" w14:textId="77777777" w:rsidR="00F214DC" w:rsidRPr="00F214DC" w:rsidRDefault="00F214DC" w:rsidP="00F21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F214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750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3F2BD" w14:textId="77777777" w:rsidR="00F214DC" w:rsidRPr="00F214DC" w:rsidRDefault="00F214DC" w:rsidP="00F214D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F214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50%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3E245" w14:textId="77777777" w:rsidR="00F214DC" w:rsidRPr="00F214DC" w:rsidRDefault="00F214DC" w:rsidP="00F214D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F214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375</w:t>
            </w:r>
          </w:p>
        </w:tc>
      </w:tr>
      <w:tr w:rsidR="00F214DC" w:rsidRPr="00F214DC" w14:paraId="0F7C5233" w14:textId="77777777" w:rsidTr="000502C8">
        <w:trPr>
          <w:trHeight w:val="255"/>
        </w:trPr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069A8" w14:textId="77777777" w:rsidR="00F214DC" w:rsidRPr="00F214DC" w:rsidRDefault="00F214DC" w:rsidP="00F214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F214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22EA4" w14:textId="77777777" w:rsidR="00F214DC" w:rsidRPr="00F214DC" w:rsidRDefault="00F214DC" w:rsidP="00F214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436E6" w14:textId="77777777" w:rsidR="00F214DC" w:rsidRPr="00F214DC" w:rsidRDefault="00F214DC" w:rsidP="00F21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F214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150 W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AEFFF" w14:textId="77777777" w:rsidR="00F214DC" w:rsidRPr="00F214DC" w:rsidRDefault="00F214DC" w:rsidP="00F21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F214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45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5C655" w14:textId="77777777" w:rsidR="00F214DC" w:rsidRPr="00F214DC" w:rsidRDefault="00F214DC" w:rsidP="00F214D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F214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50%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6634D" w14:textId="77777777" w:rsidR="00F214DC" w:rsidRPr="00F214DC" w:rsidRDefault="00F214DC" w:rsidP="00F214D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F214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22</w:t>
            </w:r>
          </w:p>
        </w:tc>
      </w:tr>
      <w:tr w:rsidR="00F214DC" w:rsidRPr="00F214DC" w14:paraId="190191CF" w14:textId="77777777" w:rsidTr="000502C8">
        <w:trPr>
          <w:trHeight w:val="255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6A351C" w14:textId="77777777" w:rsidR="00F214DC" w:rsidRPr="00F214DC" w:rsidRDefault="00F214DC" w:rsidP="00F214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F214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84510F" w14:textId="77777777" w:rsidR="00F214DC" w:rsidRPr="00F214DC" w:rsidRDefault="00F214DC" w:rsidP="00F214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F214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 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676C8" w14:textId="77777777" w:rsidR="00F214DC" w:rsidRPr="00F214DC" w:rsidRDefault="00F214DC" w:rsidP="00F21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F214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250 W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79154" w14:textId="77777777" w:rsidR="00F214DC" w:rsidRPr="00F214DC" w:rsidRDefault="00F214DC" w:rsidP="00F21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F214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48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EFF9B" w14:textId="77777777" w:rsidR="00F214DC" w:rsidRPr="00F214DC" w:rsidRDefault="00F214DC" w:rsidP="00F214D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F214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50%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0D113" w14:textId="77777777" w:rsidR="00F214DC" w:rsidRPr="00F214DC" w:rsidRDefault="00F214DC" w:rsidP="00F214D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F214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24</w:t>
            </w:r>
          </w:p>
        </w:tc>
      </w:tr>
      <w:tr w:rsidR="00F214DC" w:rsidRPr="00F214DC" w14:paraId="58FB1F2A" w14:textId="77777777" w:rsidTr="000502C8">
        <w:trPr>
          <w:trHeight w:val="255"/>
        </w:trPr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365BF" w14:textId="77777777" w:rsidR="00F214DC" w:rsidRPr="00F214DC" w:rsidRDefault="00F214DC" w:rsidP="00F214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F214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34F63" w14:textId="77777777" w:rsidR="00F214DC" w:rsidRPr="00F214DC" w:rsidRDefault="00F214DC" w:rsidP="00F21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F214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Metālhalogena spuldzes Rx7s24 70 W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984AC" w14:textId="77777777" w:rsidR="00F214DC" w:rsidRPr="00F214DC" w:rsidRDefault="00F214DC" w:rsidP="00F21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F214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123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39022" w14:textId="77777777" w:rsidR="00F214DC" w:rsidRPr="00F214DC" w:rsidRDefault="00F214DC" w:rsidP="00F214D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F214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50%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D0D11" w14:textId="77777777" w:rsidR="00F214DC" w:rsidRPr="00F214DC" w:rsidRDefault="00F214DC" w:rsidP="00F214D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F214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62</w:t>
            </w:r>
          </w:p>
        </w:tc>
      </w:tr>
      <w:tr w:rsidR="00F214DC" w:rsidRPr="00F214DC" w14:paraId="613B4E94" w14:textId="77777777" w:rsidTr="000502C8">
        <w:trPr>
          <w:trHeight w:val="255"/>
        </w:trPr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76DDE" w14:textId="77777777" w:rsidR="00F214DC" w:rsidRPr="00F214DC" w:rsidRDefault="00F214DC" w:rsidP="00F214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F214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EAECC" w14:textId="77777777" w:rsidR="00F214DC" w:rsidRPr="00F214DC" w:rsidRDefault="00F214DC" w:rsidP="00F214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49716" w14:textId="77777777" w:rsidR="00F214DC" w:rsidRPr="00F214DC" w:rsidRDefault="00F214DC" w:rsidP="00F21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F214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Rx7s24 150 W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4EBB4" w14:textId="77777777" w:rsidR="00F214DC" w:rsidRPr="00F214DC" w:rsidRDefault="00F214DC" w:rsidP="00F21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F214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32185" w14:textId="77777777" w:rsidR="00F214DC" w:rsidRPr="00F214DC" w:rsidRDefault="00F214DC" w:rsidP="00F214D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F214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50%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9CFF2" w14:textId="77777777" w:rsidR="00F214DC" w:rsidRPr="00F214DC" w:rsidRDefault="00F214DC" w:rsidP="00F214D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F214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7</w:t>
            </w:r>
          </w:p>
        </w:tc>
      </w:tr>
      <w:tr w:rsidR="00F214DC" w:rsidRPr="00F214DC" w14:paraId="6DBF15AB" w14:textId="77777777" w:rsidTr="000502C8">
        <w:trPr>
          <w:trHeight w:val="255"/>
        </w:trPr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27189" w14:textId="77777777" w:rsidR="00F214DC" w:rsidRPr="00F214DC" w:rsidRDefault="00F214DC" w:rsidP="00F214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A7294" w14:textId="77777777" w:rsidR="00F214DC" w:rsidRPr="00F214DC" w:rsidRDefault="00F214DC" w:rsidP="00F214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A817D" w14:textId="77777777" w:rsidR="00F214DC" w:rsidRPr="00F214DC" w:rsidRDefault="00F214DC" w:rsidP="00F21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F214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HCI-ET 70W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67DA4" w14:textId="77777777" w:rsidR="00F214DC" w:rsidRPr="00F214DC" w:rsidRDefault="00F214DC" w:rsidP="00F21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F214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98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EBF44" w14:textId="77777777" w:rsidR="00F214DC" w:rsidRPr="00F214DC" w:rsidRDefault="00F214DC" w:rsidP="00F214D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F214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50%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C6082" w14:textId="77777777" w:rsidR="00F214DC" w:rsidRPr="00F214DC" w:rsidRDefault="00F214DC" w:rsidP="00F214D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F214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49</w:t>
            </w:r>
          </w:p>
        </w:tc>
      </w:tr>
      <w:tr w:rsidR="00F214DC" w:rsidRPr="00F214DC" w14:paraId="79874CAF" w14:textId="77777777" w:rsidTr="000502C8">
        <w:trPr>
          <w:trHeight w:val="255"/>
        </w:trPr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F3509" w14:textId="77777777" w:rsidR="00F214DC" w:rsidRPr="00F214DC" w:rsidRDefault="00F214DC" w:rsidP="00F214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F214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2741C" w14:textId="77777777" w:rsidR="00F214DC" w:rsidRPr="00F214DC" w:rsidRDefault="00F214DC" w:rsidP="00F214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D27D7" w14:textId="77777777" w:rsidR="00F214DC" w:rsidRPr="00F214DC" w:rsidRDefault="00F214DC" w:rsidP="00F21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F214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HQI-T 250 W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E62DB" w14:textId="77777777" w:rsidR="00F214DC" w:rsidRPr="00F214DC" w:rsidRDefault="00F214DC" w:rsidP="00F21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F214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44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36039" w14:textId="77777777" w:rsidR="00F214DC" w:rsidRPr="00F214DC" w:rsidRDefault="00F214DC" w:rsidP="00F214D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F214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50%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F3D80" w14:textId="77777777" w:rsidR="00F214DC" w:rsidRPr="00F214DC" w:rsidRDefault="00F214DC" w:rsidP="00F214D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F214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22</w:t>
            </w:r>
          </w:p>
        </w:tc>
      </w:tr>
      <w:tr w:rsidR="00F214DC" w:rsidRPr="00F214DC" w14:paraId="7280E261" w14:textId="77777777" w:rsidTr="000502C8">
        <w:trPr>
          <w:trHeight w:val="255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95D913" w14:textId="77777777" w:rsidR="00F214DC" w:rsidRPr="00F214DC" w:rsidRDefault="00F214DC" w:rsidP="00F214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F214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B57F59" w14:textId="77777777" w:rsidR="00F214DC" w:rsidRPr="00F214DC" w:rsidRDefault="00F214DC" w:rsidP="00F214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F214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 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3642E" w14:textId="77777777" w:rsidR="00F214DC" w:rsidRPr="00F214DC" w:rsidRDefault="00F214DC" w:rsidP="00F21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F214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HQI-T 400 W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7134D" w14:textId="77777777" w:rsidR="00F214DC" w:rsidRPr="00F214DC" w:rsidRDefault="00F214DC" w:rsidP="00F21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F214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19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C3B9B" w14:textId="77777777" w:rsidR="00F214DC" w:rsidRPr="00F214DC" w:rsidRDefault="00F214DC" w:rsidP="00F214D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F214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50%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7597C" w14:textId="77777777" w:rsidR="00F214DC" w:rsidRPr="00F214DC" w:rsidRDefault="00F214DC" w:rsidP="00F214D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F214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9</w:t>
            </w:r>
          </w:p>
        </w:tc>
      </w:tr>
      <w:tr w:rsidR="00F214DC" w:rsidRPr="00F214DC" w14:paraId="571C06A6" w14:textId="77777777" w:rsidTr="000502C8">
        <w:trPr>
          <w:trHeight w:val="255"/>
        </w:trPr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799880" w14:textId="77777777" w:rsidR="00F214DC" w:rsidRPr="00F214DC" w:rsidRDefault="00F214DC" w:rsidP="00F214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F214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 xml:space="preserve"> CMH -  gājēju pārejām 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C4AAE" w14:textId="77777777" w:rsidR="00F214DC" w:rsidRPr="00F214DC" w:rsidRDefault="00F214DC" w:rsidP="00F21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F214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250 W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9C96F" w14:textId="77777777" w:rsidR="00F214DC" w:rsidRPr="00F214DC" w:rsidRDefault="00F214DC" w:rsidP="00F21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F214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16119" w14:textId="77777777" w:rsidR="00F214DC" w:rsidRPr="00F214DC" w:rsidRDefault="00F214DC" w:rsidP="00F214D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F214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50%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6B148" w14:textId="77777777" w:rsidR="00F214DC" w:rsidRPr="00F214DC" w:rsidRDefault="00F214DC" w:rsidP="00F214D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F214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32</w:t>
            </w:r>
          </w:p>
        </w:tc>
      </w:tr>
    </w:tbl>
    <w:p w14:paraId="6937F2EE" w14:textId="77777777" w:rsidR="00F214DC" w:rsidRPr="00F214DC" w:rsidRDefault="00F214DC" w:rsidP="00F214DC">
      <w:pPr>
        <w:tabs>
          <w:tab w:val="left" w:pos="18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 w:eastAsia="zh-CN"/>
        </w:rPr>
      </w:pPr>
    </w:p>
    <w:p w14:paraId="226F927E" w14:textId="77777777" w:rsidR="00F214DC" w:rsidRPr="00F214DC" w:rsidRDefault="00F214DC" w:rsidP="00F214DC">
      <w:pPr>
        <w:tabs>
          <w:tab w:val="left" w:pos="18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zh-CN"/>
        </w:rPr>
      </w:pPr>
    </w:p>
    <w:p w14:paraId="2D53B32E" w14:textId="77777777" w:rsidR="00F214DC" w:rsidRPr="00F214DC" w:rsidRDefault="00F214DC" w:rsidP="00F214DC">
      <w:pPr>
        <w:keepLines/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</w:p>
    <w:p w14:paraId="7F0DC985" w14:textId="77777777" w:rsidR="00F214DC" w:rsidRPr="00F214DC" w:rsidRDefault="00F214DC" w:rsidP="00F214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zh-CN"/>
        </w:rPr>
      </w:pPr>
      <w:r w:rsidRPr="00F214DC">
        <w:rPr>
          <w:rFonts w:ascii="Times New Roman" w:eastAsia="Times New Roman" w:hAnsi="Times New Roman" w:cs="Times New Roman"/>
          <w:b/>
          <w:sz w:val="24"/>
          <w:szCs w:val="24"/>
          <w:lang w:val="lv-LV" w:eastAsia="zh-CN"/>
        </w:rPr>
        <w:br/>
      </w:r>
    </w:p>
    <w:p w14:paraId="4EF8DD0A" w14:textId="77777777" w:rsidR="00F214DC" w:rsidRPr="00F214DC" w:rsidRDefault="00F214DC" w:rsidP="00F214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 w:eastAsia="zh-CN"/>
        </w:rPr>
      </w:pPr>
      <w:r w:rsidRPr="00F214DC">
        <w:rPr>
          <w:rFonts w:ascii="Times New Roman" w:eastAsia="Times New Roman" w:hAnsi="Times New Roman" w:cs="Times New Roman"/>
          <w:b/>
          <w:sz w:val="24"/>
          <w:szCs w:val="24"/>
          <w:lang w:val="lv-LV" w:eastAsia="zh-CN"/>
        </w:rPr>
        <w:br w:type="page"/>
      </w:r>
    </w:p>
    <w:p w14:paraId="3C44ADDD" w14:textId="77777777" w:rsidR="00F214DC" w:rsidRPr="00F214DC" w:rsidRDefault="00F214DC" w:rsidP="00F214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zh-CN"/>
        </w:rPr>
      </w:pPr>
    </w:p>
    <w:p w14:paraId="31CEB9F9" w14:textId="77777777" w:rsidR="00F214DC" w:rsidRPr="00F214DC" w:rsidRDefault="00F214DC" w:rsidP="00F214DC">
      <w:pPr>
        <w:keepLines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</w:p>
    <w:p w14:paraId="62C15242" w14:textId="77777777" w:rsidR="00F214DC" w:rsidRPr="00F214DC" w:rsidRDefault="00F214DC" w:rsidP="00F214DC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zh-CN"/>
        </w:rPr>
      </w:pPr>
      <w:r w:rsidRPr="00F214DC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zh-CN"/>
        </w:rPr>
        <w:t>Darba organizācijas apraksts</w:t>
      </w:r>
    </w:p>
    <w:p w14:paraId="2D7D8EC9" w14:textId="77777777" w:rsidR="00F214DC" w:rsidRPr="00F214DC" w:rsidRDefault="00F214DC" w:rsidP="00F21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lv-LV" w:eastAsia="zh-CN"/>
        </w:rPr>
      </w:pPr>
    </w:p>
    <w:p w14:paraId="44DB8292" w14:textId="277A9E8D" w:rsidR="00F214DC" w:rsidRDefault="00F214DC" w:rsidP="00F214D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Darba organizācijas apraksts apliecina pretendenta iespējas sniegt ielu apgaismojuma tīklu apkalpošanas pakalpojum</w:t>
      </w:r>
      <w:r w:rsidR="00B67DCC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u</w:t>
      </w:r>
      <w:r w:rsidR="00F976D5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.</w:t>
      </w:r>
    </w:p>
    <w:p w14:paraId="3F76226F" w14:textId="77777777" w:rsidR="00B67DCC" w:rsidRPr="00F214DC" w:rsidRDefault="00B67DCC" w:rsidP="00F214D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</w:p>
    <w:p w14:paraId="342CF4CE" w14:textId="77777777" w:rsidR="00F214DC" w:rsidRPr="00F214DC" w:rsidRDefault="00F214DC" w:rsidP="00F21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ab/>
        <w:t>Aprakstā jāiekļauj:</w:t>
      </w:r>
    </w:p>
    <w:p w14:paraId="3BB84D8A" w14:textId="77777777" w:rsidR="00F214DC" w:rsidRPr="00F214DC" w:rsidRDefault="00F214DC" w:rsidP="00F214DC">
      <w:pPr>
        <w:numPr>
          <w:ilvl w:val="0"/>
          <w:numId w:val="6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 xml:space="preserve">Pretendenta organizatoriskā struktūrshēma un savstarpējā saistība; </w:t>
      </w:r>
    </w:p>
    <w:p w14:paraId="7857A265" w14:textId="7E25453A" w:rsidR="00F214DC" w:rsidRPr="0001225E" w:rsidRDefault="00F214DC" w:rsidP="0001225E">
      <w:pPr>
        <w:numPr>
          <w:ilvl w:val="0"/>
          <w:numId w:val="6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Informāciju par tehnisko personālu, kuru pretendents izmantos ielu apgaismojuma tīklu uzturēšanai</w:t>
      </w:r>
      <w:r w:rsidR="0001225E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, papildus iepirkuma nolikuma 4.8.punktā minētajam.</w:t>
      </w:r>
    </w:p>
    <w:p w14:paraId="54FE0223" w14:textId="0197B609" w:rsidR="00F214DC" w:rsidRPr="00F214DC" w:rsidRDefault="00F214DC" w:rsidP="00F214D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 xml:space="preserve">Aprakstā detalizēti jāparāda, kā notiks bojājumu pieteikuma pieņemšana gan no pasūtītāja, gan no pilsētas iedzīvotājiem un kā tiks organizēta nolikuma </w:t>
      </w:r>
      <w:r w:rsidR="00F976D5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Darba uzdevum</w:t>
      </w:r>
      <w:bookmarkStart w:id="1" w:name="_GoBack"/>
      <w:bookmarkEnd w:id="1"/>
      <w:r w:rsidRPr="00F214DC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 xml:space="preserve">ā noteikto uzdevumu izpilde. </w:t>
      </w:r>
    </w:p>
    <w:p w14:paraId="2FA4E5E3" w14:textId="77777777" w:rsidR="00F214DC" w:rsidRPr="00F214DC" w:rsidRDefault="00F214DC" w:rsidP="00F214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 xml:space="preserve">  </w:t>
      </w:r>
    </w:p>
    <w:p w14:paraId="641401E4" w14:textId="77777777" w:rsidR="00F214DC" w:rsidRPr="00F214DC" w:rsidRDefault="00F214DC" w:rsidP="00F214D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  <w:r w:rsidRPr="00F214DC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Apraksts noformējams brīvā formā, saturā ievērojot noteikto secību. Aprakstam jāattiecas tikai uz konkrēto darbu (līgumu).</w:t>
      </w:r>
    </w:p>
    <w:p w14:paraId="6E996C28" w14:textId="77777777" w:rsidR="00F214DC" w:rsidRPr="00F214DC" w:rsidRDefault="00F214DC" w:rsidP="00F214DC">
      <w:pPr>
        <w:suppressAutoHyphens/>
        <w:spacing w:after="0" w:line="240" w:lineRule="auto"/>
        <w:jc w:val="right"/>
        <w:rPr>
          <w:rFonts w:ascii="Arial" w:eastAsia="Times New Roman" w:hAnsi="Arial" w:cs="Arial"/>
          <w:lang w:val="lv-LV" w:eastAsia="zh-CN"/>
        </w:rPr>
      </w:pPr>
    </w:p>
    <w:p w14:paraId="0ED71CB1" w14:textId="77777777" w:rsidR="00F214DC" w:rsidRDefault="00F214DC"/>
    <w:sectPr w:rsidR="00F214DC" w:rsidSect="00AD5479">
      <w:headerReference w:type="default" r:id="rId8"/>
      <w:footerReference w:type="default" r:id="rId9"/>
      <w:pgSz w:w="11906" w:h="16838"/>
      <w:pgMar w:top="1480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396B9" w14:textId="77777777" w:rsidR="0085066A" w:rsidRDefault="0085066A">
      <w:pPr>
        <w:spacing w:after="0" w:line="240" w:lineRule="auto"/>
      </w:pPr>
      <w:r>
        <w:separator/>
      </w:r>
    </w:p>
  </w:endnote>
  <w:endnote w:type="continuationSeparator" w:id="0">
    <w:p w14:paraId="51140C36" w14:textId="77777777" w:rsidR="0085066A" w:rsidRDefault="00850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E384B" w14:textId="77777777" w:rsidR="00052B73" w:rsidRDefault="00B67DCC">
    <w:pPr>
      <w:pStyle w:val="Footer"/>
      <w:shd w:val="clear" w:color="auto" w:fill="FFFFFF"/>
      <w:ind w:right="360" w:firstLine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1156C07" wp14:editId="2DDE0948">
              <wp:simplePos x="0" y="0"/>
              <wp:positionH relativeFrom="page">
                <wp:posOffset>6531610</wp:posOffset>
              </wp:positionH>
              <wp:positionV relativeFrom="paragraph">
                <wp:posOffset>635</wp:posOffset>
              </wp:positionV>
              <wp:extent cx="307975" cy="177165"/>
              <wp:effectExtent l="0" t="0" r="0" b="0"/>
              <wp:wrapSquare wrapText="largest"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975" cy="1771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02BFB2" w14:textId="77777777" w:rsidR="00052B73" w:rsidRDefault="00B67DCC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2C34F4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156C07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514.3pt;margin-top:.05pt;width:24.25pt;height:13.9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" stroked="f">
              <v:fill opacity="0"/>
              <v:textbox inset="0,0,0,0">
                <w:txbxContent>
                  <w:p w14:paraId="6602BFB2" w14:textId="77777777" w:rsidR="00052B73" w:rsidRDefault="00B67DCC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2C34F4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A16E699" wp14:editId="1B995FF3">
              <wp:simplePos x="0" y="0"/>
              <wp:positionH relativeFrom="column">
                <wp:posOffset>0</wp:posOffset>
              </wp:positionH>
              <wp:positionV relativeFrom="paragraph">
                <wp:posOffset>219710</wp:posOffset>
              </wp:positionV>
              <wp:extent cx="5486400" cy="0"/>
              <wp:effectExtent l="0" t="0" r="0" b="0"/>
              <wp:wrapNone/>
              <wp:docPr id="1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DEB693" id="Line 1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3pt" to="6in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" strokeweight=".26mm">
              <v:stroke joinstyle="miter"/>
            </v:line>
          </w:pict>
        </mc:Fallback>
      </mc:AlternateContent>
    </w:r>
    <w:r>
      <w:rPr>
        <w:i/>
        <w:color w:val="808080"/>
        <w:szCs w:val="24"/>
      </w:rPr>
      <w:tab/>
    </w:r>
    <w:r>
      <w:rPr>
        <w:rStyle w:val="PageNumber"/>
        <w:i/>
        <w:color w:val="808080"/>
        <w:szCs w:val="24"/>
      </w:rPr>
      <w:tab/>
    </w:r>
  </w:p>
  <w:p w14:paraId="48F25948" w14:textId="77777777" w:rsidR="00052B73" w:rsidRDefault="008506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22598" w14:textId="77777777" w:rsidR="0085066A" w:rsidRDefault="0085066A">
      <w:pPr>
        <w:spacing w:after="0" w:line="240" w:lineRule="auto"/>
      </w:pPr>
      <w:r>
        <w:separator/>
      </w:r>
    </w:p>
  </w:footnote>
  <w:footnote w:type="continuationSeparator" w:id="0">
    <w:p w14:paraId="1D31D961" w14:textId="77777777" w:rsidR="0085066A" w:rsidRDefault="00850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382C3" w14:textId="77777777" w:rsidR="003F17E3" w:rsidRDefault="0085066A" w:rsidP="003F17E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0306"/>
    <w:multiLevelType w:val="hybridMultilevel"/>
    <w:tmpl w:val="85069F90"/>
    <w:lvl w:ilvl="0" w:tplc="F490011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2B432D"/>
    <w:multiLevelType w:val="multilevel"/>
    <w:tmpl w:val="3E780A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2" w15:restartNumberingAfterBreak="0">
    <w:nsid w:val="26F12443"/>
    <w:multiLevelType w:val="hybridMultilevel"/>
    <w:tmpl w:val="B108E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10C5B"/>
    <w:multiLevelType w:val="multilevel"/>
    <w:tmpl w:val="4F3AE184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4" w15:restartNumberingAfterBreak="0">
    <w:nsid w:val="3A226182"/>
    <w:multiLevelType w:val="multilevel"/>
    <w:tmpl w:val="EDCE8B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5" w15:restartNumberingAfterBreak="0">
    <w:nsid w:val="62D2638E"/>
    <w:multiLevelType w:val="multilevel"/>
    <w:tmpl w:val="C12AE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4DC"/>
    <w:rsid w:val="0001225E"/>
    <w:rsid w:val="00096170"/>
    <w:rsid w:val="001A7BA6"/>
    <w:rsid w:val="00234898"/>
    <w:rsid w:val="002C34F4"/>
    <w:rsid w:val="00336BBE"/>
    <w:rsid w:val="00403E20"/>
    <w:rsid w:val="004D22F0"/>
    <w:rsid w:val="005207EF"/>
    <w:rsid w:val="005C177D"/>
    <w:rsid w:val="00647CC7"/>
    <w:rsid w:val="006876B1"/>
    <w:rsid w:val="007271C2"/>
    <w:rsid w:val="007355C7"/>
    <w:rsid w:val="007D628E"/>
    <w:rsid w:val="0085066A"/>
    <w:rsid w:val="00874883"/>
    <w:rsid w:val="00954CA5"/>
    <w:rsid w:val="009D3C4A"/>
    <w:rsid w:val="009F21A0"/>
    <w:rsid w:val="00B324B4"/>
    <w:rsid w:val="00B67DCC"/>
    <w:rsid w:val="00BE0B42"/>
    <w:rsid w:val="00C31085"/>
    <w:rsid w:val="00C34AC3"/>
    <w:rsid w:val="00CD7058"/>
    <w:rsid w:val="00D23816"/>
    <w:rsid w:val="00D4224C"/>
    <w:rsid w:val="00DF5717"/>
    <w:rsid w:val="00EA50CE"/>
    <w:rsid w:val="00F214DC"/>
    <w:rsid w:val="00F92B0D"/>
    <w:rsid w:val="00F976D5"/>
    <w:rsid w:val="00FD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935AE"/>
  <w15:docId w15:val="{54DA4444-57CF-4DEF-BCEE-46F1FCCC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214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14DC"/>
  </w:style>
  <w:style w:type="character" w:styleId="PageNumber">
    <w:name w:val="page number"/>
    <w:basedOn w:val="DefaultParagraphFont"/>
    <w:rsid w:val="00F214DC"/>
  </w:style>
  <w:style w:type="paragraph" w:styleId="Header">
    <w:name w:val="header"/>
    <w:basedOn w:val="Normal"/>
    <w:link w:val="HeaderChar"/>
    <w:uiPriority w:val="99"/>
    <w:rsid w:val="00F214DC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F214DC"/>
    <w:rPr>
      <w:rFonts w:ascii="Times New Roman" w:eastAsia="Times New Roman" w:hAnsi="Times New Roman" w:cs="Times New Roman"/>
      <w:sz w:val="24"/>
      <w:szCs w:val="24"/>
      <w:lang w:val="lv-LV" w:eastAsia="zh-CN"/>
    </w:rPr>
  </w:style>
  <w:style w:type="paragraph" w:styleId="ListParagraph">
    <w:name w:val="List Paragraph"/>
    <w:basedOn w:val="Normal"/>
    <w:uiPriority w:val="34"/>
    <w:qFormat/>
    <w:rsid w:val="00F214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07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7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7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7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F49E9-85C8-4EB2-9F6D-34592C296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6789</Words>
  <Characters>3871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Inguna Abzalone</cp:lastModifiedBy>
  <cp:revision>10</cp:revision>
  <dcterms:created xsi:type="dcterms:W3CDTF">2018-11-12T11:01:00Z</dcterms:created>
  <dcterms:modified xsi:type="dcterms:W3CDTF">2018-11-15T14:05:00Z</dcterms:modified>
</cp:coreProperties>
</file>