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DA8" w:rsidRPr="00601DA8" w:rsidRDefault="00601DA8" w:rsidP="00601DA8">
      <w:pPr>
        <w:jc w:val="right"/>
        <w:rPr>
          <w:rFonts w:ascii="Times New Roman" w:eastAsia="Times New Roman" w:hAnsi="Times New Roman" w:cs="Times New Roman"/>
          <w:b/>
          <w:sz w:val="24"/>
          <w:szCs w:val="24"/>
          <w:lang w:eastAsia="lv-LV"/>
        </w:rPr>
      </w:pPr>
      <w:bookmarkStart w:id="0" w:name="_GoBack"/>
      <w:bookmarkEnd w:id="0"/>
      <w:r>
        <w:rPr>
          <w:rFonts w:ascii="Times New Roman" w:eastAsia="Times New Roman" w:hAnsi="Times New Roman" w:cs="Times New Roman"/>
          <w:b/>
          <w:sz w:val="24"/>
          <w:szCs w:val="24"/>
          <w:lang w:eastAsia="lv-LV"/>
        </w:rPr>
        <w:t>6</w:t>
      </w:r>
      <w:r w:rsidRPr="00601DA8">
        <w:rPr>
          <w:rFonts w:ascii="Times New Roman" w:eastAsia="Times New Roman" w:hAnsi="Times New Roman" w:cs="Times New Roman"/>
          <w:b/>
          <w:sz w:val="24"/>
          <w:szCs w:val="24"/>
          <w:lang w:eastAsia="lv-LV"/>
        </w:rPr>
        <w:t>.pielikums</w:t>
      </w:r>
    </w:p>
    <w:p w:rsidR="00601DA8" w:rsidRPr="00601DA8" w:rsidRDefault="00601DA8" w:rsidP="00601DA8">
      <w:pPr>
        <w:jc w:val="right"/>
        <w:rPr>
          <w:rFonts w:ascii="Times New Roman" w:eastAsia="Times New Roman" w:hAnsi="Times New Roman" w:cs="Times New Roman"/>
          <w:sz w:val="24"/>
          <w:szCs w:val="24"/>
          <w:lang w:eastAsia="lv-LV"/>
        </w:rPr>
      </w:pPr>
    </w:p>
    <w:p w:rsidR="00601DA8" w:rsidRPr="00601DA8" w:rsidRDefault="00601DA8" w:rsidP="00601DA8">
      <w:pPr>
        <w:spacing w:after="120" w:line="240" w:lineRule="auto"/>
        <w:contextualSpacing/>
        <w:jc w:val="center"/>
        <w:rPr>
          <w:rFonts w:ascii="Times New Roman" w:eastAsia="Times New Roman" w:hAnsi="Times New Roman" w:cs="Times New Roman"/>
          <w:b/>
          <w:i/>
          <w:sz w:val="24"/>
          <w:szCs w:val="24"/>
          <w:lang w:eastAsia="lv-LV"/>
        </w:rPr>
      </w:pPr>
      <w:r w:rsidRPr="00601DA8">
        <w:rPr>
          <w:rFonts w:ascii="Times New Roman" w:eastAsia="Times New Roman" w:hAnsi="Times New Roman" w:cs="Times New Roman"/>
          <w:b/>
          <w:sz w:val="24"/>
          <w:szCs w:val="24"/>
          <w:lang w:eastAsia="lv-LV"/>
        </w:rPr>
        <w:t xml:space="preserve">Iepirkuma līgums </w:t>
      </w:r>
      <w:r w:rsidRPr="00601DA8">
        <w:rPr>
          <w:rFonts w:ascii="Times New Roman" w:eastAsia="Times New Roman" w:hAnsi="Times New Roman" w:cs="Times New Roman"/>
          <w:b/>
          <w:i/>
          <w:sz w:val="24"/>
          <w:szCs w:val="24"/>
          <w:lang w:eastAsia="lv-LV"/>
        </w:rPr>
        <w:t>(PROJEKTS)</w:t>
      </w:r>
    </w:p>
    <w:p w:rsidR="00601DA8" w:rsidRPr="00601DA8" w:rsidRDefault="00601DA8" w:rsidP="00601DA8">
      <w:pPr>
        <w:spacing w:after="120" w:line="240" w:lineRule="auto"/>
        <w:contextualSpacing/>
        <w:jc w:val="center"/>
        <w:rPr>
          <w:rFonts w:ascii="Times New Roman" w:eastAsia="Times New Roman" w:hAnsi="Times New Roman" w:cs="Times New Roman"/>
          <w:i/>
          <w:sz w:val="24"/>
          <w:szCs w:val="24"/>
          <w:lang w:eastAsia="lv-LV"/>
        </w:rPr>
      </w:pPr>
      <w:r w:rsidRPr="00601DA8">
        <w:rPr>
          <w:rFonts w:ascii="Times New Roman" w:eastAsia="Times New Roman" w:hAnsi="Times New Roman" w:cs="Times New Roman"/>
          <w:i/>
          <w:sz w:val="24"/>
          <w:szCs w:val="24"/>
          <w:lang w:eastAsia="lv-LV"/>
        </w:rPr>
        <w:t>Par biroja tehnikas apkopes un remonta pakalpojumiem</w:t>
      </w:r>
    </w:p>
    <w:p w:rsidR="00601DA8" w:rsidRPr="00601DA8" w:rsidRDefault="00601DA8" w:rsidP="00601DA8">
      <w:pPr>
        <w:spacing w:after="120" w:line="240" w:lineRule="auto"/>
        <w:contextualSpacing/>
        <w:jc w:val="center"/>
        <w:rPr>
          <w:rFonts w:ascii="Times New Roman" w:eastAsia="Times New Roman" w:hAnsi="Times New Roman" w:cs="Times New Roman"/>
          <w:sz w:val="24"/>
          <w:szCs w:val="24"/>
          <w:lang w:eastAsia="lv-LV"/>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5"/>
        <w:gridCol w:w="4221"/>
      </w:tblGrid>
      <w:tr w:rsidR="00601DA8" w:rsidRPr="00601DA8" w:rsidTr="00ED6D5F">
        <w:tc>
          <w:tcPr>
            <w:tcW w:w="4530" w:type="dxa"/>
          </w:tcPr>
          <w:p w:rsidR="00601DA8" w:rsidRPr="00601DA8" w:rsidRDefault="00601DA8" w:rsidP="00601DA8">
            <w:pPr>
              <w:widowControl w:val="0"/>
              <w:autoSpaceDE w:val="0"/>
              <w:autoSpaceDN w:val="0"/>
              <w:adjustRightInd w:val="0"/>
              <w:spacing w:after="120"/>
              <w:contextualSpacing/>
              <w:rPr>
                <w:rFonts w:ascii="Times New Roman" w:eastAsia="Times New Roman" w:hAnsi="Times New Roman" w:cs="Times New Roman"/>
                <w:sz w:val="24"/>
                <w:szCs w:val="24"/>
                <w:lang w:eastAsia="lv-LV"/>
              </w:rPr>
            </w:pPr>
            <w:r w:rsidRPr="00601DA8">
              <w:rPr>
                <w:rFonts w:ascii="Times New Roman" w:eastAsia="Times New Roman" w:hAnsi="Times New Roman" w:cs="Times New Roman"/>
                <w:sz w:val="24"/>
                <w:szCs w:val="24"/>
                <w:lang w:eastAsia="lv-LV"/>
              </w:rPr>
              <w:t>Siguldā,</w:t>
            </w:r>
          </w:p>
        </w:tc>
        <w:tc>
          <w:tcPr>
            <w:tcW w:w="4531" w:type="dxa"/>
          </w:tcPr>
          <w:p w:rsidR="00601DA8" w:rsidRPr="00601DA8" w:rsidRDefault="00601DA8" w:rsidP="00601DA8">
            <w:pPr>
              <w:widowControl w:val="0"/>
              <w:autoSpaceDE w:val="0"/>
              <w:autoSpaceDN w:val="0"/>
              <w:adjustRightInd w:val="0"/>
              <w:spacing w:after="120"/>
              <w:contextualSpacing/>
              <w:jc w:val="right"/>
              <w:rPr>
                <w:rFonts w:ascii="Times New Roman" w:eastAsia="Times New Roman" w:hAnsi="Times New Roman" w:cs="Times New Roman"/>
                <w:sz w:val="24"/>
                <w:szCs w:val="24"/>
                <w:lang w:eastAsia="lv-LV"/>
              </w:rPr>
            </w:pPr>
            <w:r w:rsidRPr="00601DA8">
              <w:rPr>
                <w:rFonts w:ascii="Times New Roman" w:eastAsia="Times New Roman" w:hAnsi="Times New Roman" w:cs="Times New Roman"/>
                <w:sz w:val="24"/>
                <w:szCs w:val="24"/>
                <w:lang w:eastAsia="lv-LV"/>
              </w:rPr>
              <w:t>2016. gada ___.____________</w:t>
            </w:r>
          </w:p>
        </w:tc>
      </w:tr>
    </w:tbl>
    <w:p w:rsidR="00601DA8" w:rsidRPr="00601DA8" w:rsidRDefault="00601DA8" w:rsidP="00601DA8">
      <w:pPr>
        <w:spacing w:after="120" w:line="240" w:lineRule="auto"/>
        <w:contextualSpacing/>
        <w:jc w:val="center"/>
        <w:rPr>
          <w:rFonts w:ascii="Times New Roman" w:eastAsia="Times New Roman" w:hAnsi="Times New Roman" w:cs="Times New Roman"/>
          <w:sz w:val="24"/>
          <w:szCs w:val="24"/>
          <w:lang w:eastAsia="lv-LV"/>
        </w:rPr>
      </w:pPr>
    </w:p>
    <w:p w:rsidR="00601DA8" w:rsidRPr="00601DA8" w:rsidRDefault="00601DA8" w:rsidP="005E45AB">
      <w:pPr>
        <w:spacing w:after="0" w:line="240" w:lineRule="auto"/>
        <w:ind w:left="-426"/>
        <w:jc w:val="both"/>
        <w:rPr>
          <w:rFonts w:ascii="Times New Roman" w:eastAsia="Times New Roman" w:hAnsi="Times New Roman" w:cs="Times New Roman"/>
        </w:rPr>
      </w:pPr>
      <w:r w:rsidRPr="00601DA8">
        <w:rPr>
          <w:rFonts w:ascii="Times New Roman" w:eastAsia="Times New Roman" w:hAnsi="Times New Roman" w:cs="Times New Roman"/>
          <w:b/>
          <w:bCs/>
        </w:rPr>
        <w:t>Siguldas novada Dome</w:t>
      </w:r>
      <w:r w:rsidRPr="00601DA8">
        <w:rPr>
          <w:rFonts w:ascii="Times New Roman" w:eastAsia="Times New Roman" w:hAnsi="Times New Roman" w:cs="Times New Roman"/>
          <w:i/>
        </w:rPr>
        <w:t xml:space="preserve">, </w:t>
      </w:r>
      <w:r w:rsidRPr="00601DA8">
        <w:rPr>
          <w:rFonts w:ascii="Times New Roman" w:eastAsia="Times New Roman" w:hAnsi="Times New Roman" w:cs="Times New Roman"/>
          <w:bCs/>
        </w:rPr>
        <w:t>reģistrācijas Nr.90000048152,</w:t>
      </w:r>
      <w:r>
        <w:rPr>
          <w:rFonts w:ascii="Times New Roman" w:eastAsia="Times New Roman" w:hAnsi="Times New Roman" w:cs="Times New Roman"/>
          <w:bCs/>
        </w:rPr>
        <w:t xml:space="preserve"> juridiskā</w:t>
      </w:r>
      <w:r w:rsidRPr="00601DA8">
        <w:rPr>
          <w:rFonts w:ascii="Times New Roman" w:eastAsia="Times New Roman" w:hAnsi="Times New Roman" w:cs="Times New Roman"/>
          <w:bCs/>
        </w:rPr>
        <w:t xml:space="preserve"> adrese Pils ielā 16, Sigulda, Siguldas novads, </w:t>
      </w:r>
      <w:r w:rsidRPr="00601DA8">
        <w:rPr>
          <w:rFonts w:ascii="Times New Roman" w:eastAsia="Times New Roman" w:hAnsi="Times New Roman" w:cs="Times New Roman"/>
        </w:rPr>
        <w:t xml:space="preserve">tās priekšsēdētāja Uģa Mitrevica personā, kurš rīkojas pamatojoties uz 2013.gada 13.jūnija Siguldas novada Domes saistošajiem noteikumiem Nr.14 „Siguldas novada pašvaldības Nolikums” (prot.Nr.13., </w:t>
      </w:r>
      <w:r w:rsidRPr="00601DA8">
        <w:rPr>
          <w:rFonts w:ascii="Times New Roman" w:eastAsia="Times New Roman" w:hAnsi="Times New Roman" w:cs="Times New Roman"/>
          <w:color w:val="000000"/>
          <w:lang w:eastAsia="lv-LV"/>
        </w:rPr>
        <w:t>§</w:t>
      </w:r>
      <w:r w:rsidRPr="00601DA8">
        <w:rPr>
          <w:rFonts w:ascii="Times New Roman" w:eastAsia="Times New Roman" w:hAnsi="Times New Roman" w:cs="Times New Roman"/>
        </w:rPr>
        <w:t>2)</w:t>
      </w:r>
      <w:r w:rsidRPr="00601DA8">
        <w:rPr>
          <w:rFonts w:ascii="Times New Roman" w:eastAsia="Times New Roman" w:hAnsi="Times New Roman" w:cs="Times New Roman"/>
          <w:lang w:eastAsia="zh-CN"/>
        </w:rPr>
        <w:t>, turpmāk tekstā saukts – Pasūtītājs, no vienas puses, un</w:t>
      </w:r>
    </w:p>
    <w:p w:rsidR="00601DA8" w:rsidRPr="00601DA8" w:rsidRDefault="00601DA8" w:rsidP="005E45AB">
      <w:pPr>
        <w:spacing w:after="120" w:line="240" w:lineRule="auto"/>
        <w:ind w:left="-426" w:firstLine="142"/>
        <w:jc w:val="both"/>
        <w:rPr>
          <w:rFonts w:ascii="Times New Roman" w:eastAsia="Times New Roman" w:hAnsi="Times New Roman" w:cs="Times New Roman"/>
          <w:b/>
          <w:sz w:val="24"/>
          <w:szCs w:val="24"/>
          <w:lang w:eastAsia="lv-LV"/>
        </w:rPr>
      </w:pPr>
      <w:r w:rsidRPr="00601DA8">
        <w:rPr>
          <w:rFonts w:ascii="Times New Roman" w:eastAsia="Times New Roman" w:hAnsi="Times New Roman" w:cs="Times New Roman"/>
          <w:b/>
          <w:lang w:eastAsia="lv-LV"/>
        </w:rPr>
        <w:tab/>
      </w:r>
      <w:r w:rsidRPr="00601DA8">
        <w:rPr>
          <w:rFonts w:ascii="Times New Roman" w:eastAsia="Calibri" w:hAnsi="Times New Roman" w:cs="Times New Roman"/>
          <w:b/>
          <w:bCs/>
          <w:kern w:val="32"/>
        </w:rPr>
        <w:t>______________</w:t>
      </w:r>
      <w:r w:rsidRPr="00601DA8">
        <w:rPr>
          <w:rFonts w:ascii="Times New Roman" w:eastAsia="Calibri" w:hAnsi="Times New Roman" w:cs="Times New Roman"/>
          <w:bCs/>
          <w:kern w:val="32"/>
        </w:rPr>
        <w:t xml:space="preserve">, reģistrācijas Nr. ____________, juridiskā adrese: ______________________tās valdes locekļa _________________personā, kurš rīkojas uz Statūtu pamata, turpmāk tekstā saukts – Izpildītājs, no otras puses, </w:t>
      </w:r>
      <w:r w:rsidRPr="00601DA8">
        <w:rPr>
          <w:rFonts w:ascii="Times New Roman" w:eastAsia="Calibri" w:hAnsi="Times New Roman" w:cs="Times New Roman"/>
          <w:bCs/>
          <w:kern w:val="32"/>
          <w:lang w:eastAsia="zh-CN"/>
        </w:rPr>
        <w:t xml:space="preserve">abi kopā un katrs atsevišķi turpmāk tekstā saukti – </w:t>
      </w:r>
      <w:r w:rsidRPr="00601DA8">
        <w:rPr>
          <w:rFonts w:ascii="Times New Roman" w:eastAsia="Times New Roman" w:hAnsi="Times New Roman" w:cs="Times New Roman"/>
          <w:lang w:eastAsia="lv-LV"/>
        </w:rPr>
        <w:t>Puses vai Puse</w:t>
      </w:r>
      <w:r w:rsidRPr="00601DA8">
        <w:rPr>
          <w:rFonts w:ascii="Times New Roman" w:eastAsia="Times New Roman" w:hAnsi="Times New Roman" w:cs="Times New Roman"/>
          <w:sz w:val="24"/>
          <w:szCs w:val="24"/>
          <w:lang w:eastAsia="lv-LV"/>
        </w:rPr>
        <w:t>,</w:t>
      </w:r>
    </w:p>
    <w:p w:rsidR="00601DA8" w:rsidRPr="00601DA8" w:rsidRDefault="00601DA8" w:rsidP="005E45AB">
      <w:pPr>
        <w:spacing w:after="120" w:line="240" w:lineRule="auto"/>
        <w:ind w:left="-426" w:firstLine="142"/>
        <w:jc w:val="both"/>
        <w:rPr>
          <w:rFonts w:ascii="Times New Roman" w:eastAsia="Times New Roman" w:hAnsi="Times New Roman" w:cs="Times New Roman"/>
          <w:lang w:eastAsia="lv-LV"/>
        </w:rPr>
      </w:pPr>
      <w:r w:rsidRPr="00601DA8">
        <w:rPr>
          <w:rFonts w:ascii="Times New Roman" w:eastAsia="Times New Roman" w:hAnsi="Times New Roman" w:cs="Times New Roman"/>
          <w:lang w:eastAsia="lv-LV"/>
        </w:rPr>
        <w:t>pama</w:t>
      </w:r>
      <w:r w:rsidR="001708BE">
        <w:rPr>
          <w:rFonts w:ascii="Times New Roman" w:eastAsia="Times New Roman" w:hAnsi="Times New Roman" w:cs="Times New Roman"/>
          <w:lang w:eastAsia="lv-LV"/>
        </w:rPr>
        <w:t>tojoties uz iepirkuma</w:t>
      </w:r>
      <w:r w:rsidRPr="00601DA8">
        <w:rPr>
          <w:rFonts w:ascii="Times New Roman" w:eastAsia="Times New Roman" w:hAnsi="Times New Roman" w:cs="Times New Roman"/>
          <w:lang w:eastAsia="lv-LV"/>
        </w:rPr>
        <w:t xml:space="preserve"> „</w:t>
      </w:r>
      <w:r w:rsidR="001708BE" w:rsidRPr="001708BE">
        <w:rPr>
          <w:rFonts w:ascii="Times New Roman" w:eastAsia="Times New Roman" w:hAnsi="Times New Roman" w:cs="Times New Roman"/>
        </w:rPr>
        <w:t>Biroja tehnikas apkope un remonts</w:t>
      </w:r>
      <w:r w:rsidRPr="00601DA8">
        <w:rPr>
          <w:rFonts w:ascii="Times New Roman" w:eastAsia="Times New Roman" w:hAnsi="Times New Roman" w:cs="Times New Roman"/>
          <w:lang w:eastAsia="lv-LV"/>
        </w:rPr>
        <w:t>”</w:t>
      </w:r>
      <w:r w:rsidR="006330A5">
        <w:rPr>
          <w:rFonts w:ascii="Times New Roman" w:eastAsia="Times New Roman" w:hAnsi="Times New Roman" w:cs="Times New Roman"/>
          <w:lang w:eastAsia="lv-LV"/>
        </w:rPr>
        <w:t xml:space="preserve">, </w:t>
      </w:r>
      <w:r w:rsidR="006330A5" w:rsidRPr="00C7728C">
        <w:rPr>
          <w:rFonts w:ascii="Times New Roman" w:eastAsia="Times New Roman" w:hAnsi="Times New Roman" w:cs="Times New Roman"/>
          <w:lang w:eastAsia="lv-LV"/>
        </w:rPr>
        <w:t xml:space="preserve">identifikācijas Nr. SND </w:t>
      </w:r>
      <w:r w:rsidRPr="00C7728C">
        <w:rPr>
          <w:rFonts w:ascii="Times New Roman" w:eastAsia="Times New Roman" w:hAnsi="Times New Roman" w:cs="Times New Roman"/>
          <w:lang w:eastAsia="lv-LV"/>
        </w:rPr>
        <w:t>2016/</w:t>
      </w:r>
      <w:r w:rsidR="00C7728C" w:rsidRPr="00C7728C">
        <w:rPr>
          <w:rFonts w:ascii="Times New Roman" w:eastAsia="Times New Roman" w:hAnsi="Times New Roman" w:cs="Times New Roman"/>
          <w:lang w:eastAsia="lv-LV"/>
        </w:rPr>
        <w:t>22</w:t>
      </w:r>
      <w:r w:rsidRPr="00C7728C">
        <w:rPr>
          <w:rFonts w:ascii="Times New Roman" w:eastAsia="Times New Roman" w:hAnsi="Times New Roman" w:cs="Times New Roman"/>
          <w:lang w:eastAsia="lv-LV"/>
        </w:rPr>
        <w:t>,</w:t>
      </w:r>
      <w:r w:rsidRPr="00601DA8">
        <w:rPr>
          <w:rFonts w:ascii="Times New Roman" w:eastAsia="Times New Roman" w:hAnsi="Times New Roman" w:cs="Times New Roman"/>
          <w:lang w:eastAsia="lv-LV"/>
        </w:rPr>
        <w:t xml:space="preserve"> noslēdz šādu līgumu (turpmāk – Līgums).</w:t>
      </w: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priekšmets</w:t>
      </w:r>
    </w:p>
    <w:p w:rsidR="00601DA8" w:rsidRDefault="00601DA8" w:rsidP="005E45AB">
      <w:pPr>
        <w:spacing w:after="0" w:line="240" w:lineRule="auto"/>
        <w:ind w:left="-426"/>
        <w:jc w:val="both"/>
        <w:rPr>
          <w:rFonts w:ascii="Times New Roman" w:eastAsia="Calibri" w:hAnsi="Times New Roman" w:cs="Times New Roman"/>
        </w:rPr>
      </w:pPr>
      <w:r w:rsidRPr="00601DA8">
        <w:rPr>
          <w:rFonts w:ascii="Times New Roman" w:eastAsia="Calibri" w:hAnsi="Times New Roman" w:cs="Times New Roman"/>
        </w:rPr>
        <w:t xml:space="preserve">Pasūtītājs uzdod, bet Izpildītājs apņemas nodrošināt </w:t>
      </w:r>
      <w:r w:rsidR="006330A5">
        <w:rPr>
          <w:rFonts w:ascii="Times New Roman" w:eastAsia="Calibri" w:hAnsi="Times New Roman" w:cs="Times New Roman"/>
        </w:rPr>
        <w:t>Pasūtītāja rīcībā esošās biroja tehnikas (</w:t>
      </w:r>
      <w:r w:rsidR="006330A5" w:rsidRPr="006330A5">
        <w:rPr>
          <w:rFonts w:ascii="Times New Roman" w:eastAsia="Times New Roman" w:hAnsi="Times New Roman" w:cs="Times New Roman"/>
          <w:sz w:val="24"/>
          <w:szCs w:val="24"/>
        </w:rPr>
        <w:t>1.</w:t>
      </w:r>
      <w:r w:rsidR="006330A5" w:rsidRPr="006330A5">
        <w:rPr>
          <w:rFonts w:ascii="Times New Roman" w:eastAsia="Times New Roman" w:hAnsi="Times New Roman" w:cs="Times New Roman"/>
          <w:bCs/>
        </w:rPr>
        <w:t xml:space="preserve"> pielikums</w:t>
      </w:r>
      <w:r w:rsidR="006330A5">
        <w:rPr>
          <w:rFonts w:ascii="Times New Roman" w:eastAsia="Times New Roman" w:hAnsi="Times New Roman" w:cs="Times New Roman"/>
          <w:bCs/>
        </w:rPr>
        <w:t>)</w:t>
      </w:r>
      <w:r w:rsidR="00C7728C">
        <w:rPr>
          <w:rFonts w:ascii="Times New Roman" w:eastAsia="Times New Roman" w:hAnsi="Times New Roman" w:cs="Times New Roman"/>
          <w:bCs/>
        </w:rPr>
        <w:t xml:space="preserve"> </w:t>
      </w:r>
      <w:r w:rsidRPr="00601DA8">
        <w:rPr>
          <w:rFonts w:ascii="Times New Roman" w:eastAsia="Calibri" w:hAnsi="Times New Roman" w:cs="Times New Roman"/>
        </w:rPr>
        <w:t>apkopes un remonta pakalpojumus saskaņā ar</w:t>
      </w:r>
      <w:r w:rsidR="00555F51">
        <w:rPr>
          <w:rFonts w:ascii="Times New Roman" w:eastAsia="Calibri" w:hAnsi="Times New Roman" w:cs="Times New Roman"/>
        </w:rPr>
        <w:t xml:space="preserve"> piedāvājumu iepirkumā,</w:t>
      </w:r>
      <w:r w:rsidRPr="00601DA8">
        <w:rPr>
          <w:rFonts w:ascii="Times New Roman" w:eastAsia="Calibri" w:hAnsi="Times New Roman" w:cs="Times New Roman"/>
        </w:rPr>
        <w:t xml:space="preserve"> Tehnisko spec</w:t>
      </w:r>
      <w:r w:rsidR="006330A5">
        <w:rPr>
          <w:rFonts w:ascii="Times New Roman" w:eastAsia="Calibri" w:hAnsi="Times New Roman" w:cs="Times New Roman"/>
        </w:rPr>
        <w:t>ifikāciju (2.pielikums) un Finanšu piedāvājumu (3</w:t>
      </w:r>
      <w:r w:rsidRPr="00601DA8">
        <w:rPr>
          <w:rFonts w:ascii="Times New Roman" w:eastAsia="Calibri" w:hAnsi="Times New Roman" w:cs="Times New Roman"/>
        </w:rPr>
        <w:t>.pielikums) (turpmāk – Pakalpojumi).</w:t>
      </w:r>
    </w:p>
    <w:p w:rsidR="00520364" w:rsidRPr="00601DA8" w:rsidRDefault="00520364" w:rsidP="006330A5">
      <w:pPr>
        <w:spacing w:after="0" w:line="240" w:lineRule="auto"/>
        <w:jc w:val="both"/>
        <w:rPr>
          <w:rFonts w:ascii="Times New Roman" w:eastAsia="Times New Roman" w:hAnsi="Times New Roman" w:cs="Times New Roman"/>
          <w:bCs/>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cena un norēķinu kārtība</w:t>
      </w:r>
    </w:p>
    <w:p w:rsidR="000F5F34" w:rsidRPr="00C44257" w:rsidRDefault="000F5F34" w:rsidP="000F5F34">
      <w:pPr>
        <w:spacing w:after="0"/>
        <w:ind w:hanging="426"/>
        <w:jc w:val="both"/>
        <w:rPr>
          <w:rFonts w:ascii="Times New Roman" w:hAnsi="Times New Roman"/>
        </w:rPr>
      </w:pPr>
      <w:r>
        <w:rPr>
          <w:rFonts w:ascii="Times New Roman" w:hAnsi="Times New Roman"/>
          <w:color w:val="000000"/>
        </w:rPr>
        <w:t>2.1.</w:t>
      </w:r>
      <w:r w:rsidR="00DE41AB">
        <w:rPr>
          <w:rFonts w:ascii="Times New Roman" w:hAnsi="Times New Roman"/>
          <w:color w:val="000000"/>
        </w:rPr>
        <w:t>Līguma</w:t>
      </w:r>
      <w:r w:rsidRPr="00C44257">
        <w:rPr>
          <w:rFonts w:ascii="Times New Roman" w:hAnsi="Times New Roman"/>
          <w:color w:val="000000"/>
        </w:rPr>
        <w:t xml:space="preserve"> </w:t>
      </w:r>
      <w:r w:rsidRPr="00C44257">
        <w:rPr>
          <w:rFonts w:ascii="Times New Roman" w:hAnsi="Times New Roman"/>
        </w:rPr>
        <w:t xml:space="preserve">kopējā summa nepārsniedz EUR </w:t>
      </w:r>
      <w:r>
        <w:rPr>
          <w:rFonts w:ascii="Times New Roman" w:hAnsi="Times New Roman"/>
        </w:rPr>
        <w:t>41</w:t>
      </w:r>
      <w:r w:rsidRPr="00C44257">
        <w:rPr>
          <w:rFonts w:ascii="Times New Roman" w:hAnsi="Times New Roman"/>
        </w:rPr>
        <w:t> 000,00 (četrdesmit</w:t>
      </w:r>
      <w:r>
        <w:rPr>
          <w:rFonts w:ascii="Times New Roman" w:hAnsi="Times New Roman"/>
        </w:rPr>
        <w:t xml:space="preserve"> viens tūkstotis</w:t>
      </w:r>
      <w:r w:rsidRPr="00C44257">
        <w:rPr>
          <w:rFonts w:ascii="Times New Roman" w:hAnsi="Times New Roman"/>
        </w:rPr>
        <w:t xml:space="preserve"> euro, 00 centu) (turpmāk – Iepirkuma summa) apmēru, neieskaitot pievienotās vērtības nodokli. Pievienotās vērtības nodoklis tiek maksāts atbilstoši Līguma summai normatīvajos aktos noteiktās procentu likmes apmērā.</w:t>
      </w:r>
    </w:p>
    <w:p w:rsidR="000F5F34" w:rsidRPr="00C7728C" w:rsidRDefault="000F5F34" w:rsidP="000F5F34">
      <w:pPr>
        <w:spacing w:after="0"/>
        <w:ind w:hanging="426"/>
        <w:jc w:val="both"/>
        <w:rPr>
          <w:rFonts w:ascii="Times New Roman" w:hAnsi="Times New Roman"/>
          <w:color w:val="000000"/>
        </w:rPr>
      </w:pPr>
      <w:r w:rsidRPr="00C44257">
        <w:rPr>
          <w:rFonts w:ascii="Times New Roman" w:hAnsi="Times New Roman"/>
        </w:rPr>
        <w:t>2.2. Pasūtītājs par iepriekšējā ka</w:t>
      </w:r>
      <w:r w:rsidR="000625D1">
        <w:rPr>
          <w:rFonts w:ascii="Times New Roman" w:hAnsi="Times New Roman"/>
        </w:rPr>
        <w:t xml:space="preserve">lendārajā mēnesī sniegtajiem pakalpojumiem </w:t>
      </w:r>
      <w:r w:rsidRPr="00C44257">
        <w:rPr>
          <w:rFonts w:ascii="Times New Roman" w:hAnsi="Times New Roman"/>
        </w:rPr>
        <w:t>samaksu veic ne retāk kā 1 (vienu) reizi mēnesī</w:t>
      </w:r>
      <w:r>
        <w:rPr>
          <w:rFonts w:ascii="Times New Roman" w:hAnsi="Times New Roman"/>
        </w:rPr>
        <w:t xml:space="preserve"> līdz nākamā mēneša </w:t>
      </w:r>
      <w:r w:rsidRPr="00C44257">
        <w:rPr>
          <w:rFonts w:ascii="Times New Roman" w:hAnsi="Times New Roman"/>
        </w:rPr>
        <w:t>20.datumam</w:t>
      </w:r>
      <w:r>
        <w:rPr>
          <w:rFonts w:ascii="Times New Roman" w:hAnsi="Times New Roman"/>
        </w:rPr>
        <w:t xml:space="preserve">. </w:t>
      </w:r>
      <w:r w:rsidRPr="00C44257">
        <w:rPr>
          <w:rFonts w:ascii="Times New Roman" w:hAnsi="Times New Roman"/>
        </w:rPr>
        <w:t xml:space="preserve">Līdz nākamā mēneša 5. datumam Izpildītājs elektroniskā formātā uz e-pasta adresi: </w:t>
      </w:r>
      <w:hyperlink r:id="rId5" w:history="1">
        <w:r w:rsidRPr="00C44257">
          <w:rPr>
            <w:rFonts w:ascii="Times New Roman" w:hAnsi="Times New Roman"/>
            <w:color w:val="0563C1"/>
            <w:u w:val="single"/>
          </w:rPr>
          <w:t>rekini@sigulda.lv</w:t>
        </w:r>
      </w:hyperlink>
      <w:r w:rsidRPr="00C44257">
        <w:rPr>
          <w:rFonts w:ascii="Times New Roman" w:hAnsi="Times New Roman"/>
        </w:rPr>
        <w:t xml:space="preserve"> nosūta kopsavilkumu par iepriekšējā kalendārajā mēnesī izsniegtajiem </w:t>
      </w:r>
      <w:r w:rsidRPr="00C7728C">
        <w:rPr>
          <w:rFonts w:ascii="Times New Roman" w:hAnsi="Times New Roman"/>
        </w:rPr>
        <w:t>Preču pavadzīmēm – rēķiniem</w:t>
      </w:r>
      <w:r w:rsidR="000625D1" w:rsidRPr="00C7728C">
        <w:rPr>
          <w:rFonts w:ascii="Times New Roman" w:hAnsi="Times New Roman"/>
        </w:rPr>
        <w:t xml:space="preserve"> un/vai Pakalpojumu nodošanas – pieņemšanas aktiem</w:t>
      </w:r>
      <w:r w:rsidRPr="00C7728C">
        <w:rPr>
          <w:rFonts w:ascii="Times New Roman" w:hAnsi="Times New Roman"/>
        </w:rPr>
        <w:t xml:space="preserve"> </w:t>
      </w:r>
      <w:r w:rsidRPr="00C7728C">
        <w:rPr>
          <w:rFonts w:ascii="Times New Roman" w:hAnsi="Times New Roman"/>
          <w:color w:val="000000"/>
        </w:rPr>
        <w:t>Pasūtītājam un tā iestādēm.</w:t>
      </w:r>
    </w:p>
    <w:p w:rsidR="000F5F34" w:rsidRPr="00520364" w:rsidRDefault="000F5F34" w:rsidP="00520364">
      <w:pPr>
        <w:spacing w:after="0"/>
        <w:ind w:hanging="426"/>
        <w:jc w:val="both"/>
        <w:rPr>
          <w:rFonts w:ascii="Times New Roman" w:eastAsia="Times New Roman" w:hAnsi="Times New Roman"/>
        </w:rPr>
      </w:pPr>
      <w:r w:rsidRPr="00C7728C">
        <w:rPr>
          <w:rFonts w:ascii="Times New Roman" w:hAnsi="Times New Roman"/>
          <w:color w:val="000000"/>
        </w:rPr>
        <w:t xml:space="preserve">2.3. </w:t>
      </w:r>
      <w:r w:rsidRPr="00C7728C">
        <w:rPr>
          <w:rFonts w:ascii="Times New Roman" w:eastAsia="Times New Roman" w:hAnsi="Times New Roman"/>
          <w:bCs/>
        </w:rPr>
        <w:t xml:space="preserve">Visām Preču pavadzīmēm - rēķiniem </w:t>
      </w:r>
      <w:r w:rsidR="000625D1" w:rsidRPr="00C7728C">
        <w:rPr>
          <w:rFonts w:ascii="Times New Roman" w:hAnsi="Times New Roman"/>
        </w:rPr>
        <w:t xml:space="preserve">un Pakalpojumu nodošanas – pieņemšanas aktiem </w:t>
      </w:r>
      <w:r w:rsidRPr="00C7728C">
        <w:rPr>
          <w:rFonts w:ascii="Times New Roman" w:eastAsia="Times New Roman" w:hAnsi="Times New Roman"/>
          <w:bCs/>
        </w:rPr>
        <w:t>jābūt</w:t>
      </w:r>
      <w:r w:rsidRPr="00C44257">
        <w:rPr>
          <w:rFonts w:ascii="Times New Roman" w:eastAsia="Times New Roman" w:hAnsi="Times New Roman"/>
          <w:bCs/>
        </w:rPr>
        <w:t xml:space="preserve"> noformētiem atbilstoši Latvijas Republikas normatīvo aktu prasībām, kā arī</w:t>
      </w:r>
      <w:r w:rsidRPr="00C44257">
        <w:t xml:space="preserve"> </w:t>
      </w:r>
      <w:r w:rsidRPr="00C44257">
        <w:rPr>
          <w:rFonts w:ascii="Times New Roman" w:hAnsi="Times New Roman"/>
        </w:rPr>
        <w:t xml:space="preserve">jābūt norādītiem Izpildītāja rekvizītiem, Līguma numuram un Iepirkuma identifikācijas numuram. </w:t>
      </w:r>
      <w:r w:rsidRPr="0083484A">
        <w:rPr>
          <w:rFonts w:ascii="Times New Roman" w:hAnsi="Times New Roman"/>
        </w:rPr>
        <w:t xml:space="preserve">Gadījumā, ja </w:t>
      </w:r>
      <w:r w:rsidRPr="00C44257">
        <w:rPr>
          <w:rFonts w:ascii="Times New Roman" w:hAnsi="Times New Roman"/>
        </w:rPr>
        <w:t>Pasūtītājs nav veicis samaksu Līguma 2.2</w:t>
      </w:r>
      <w:r w:rsidRPr="0083484A">
        <w:rPr>
          <w:rFonts w:ascii="Times New Roman" w:hAnsi="Times New Roman"/>
        </w:rPr>
        <w:t>.apakšpunktā noteiktajā laikā, tad</w:t>
      </w:r>
      <w:r w:rsidRPr="00C44257">
        <w:rPr>
          <w:rFonts w:ascii="Times New Roman" w:hAnsi="Times New Roman"/>
        </w:rPr>
        <w:t xml:space="preserve"> mēneša 11.datumā Izpildītājam</w:t>
      </w:r>
      <w:r w:rsidRPr="0083484A">
        <w:rPr>
          <w:rFonts w:ascii="Times New Roman" w:hAnsi="Times New Roman"/>
        </w:rPr>
        <w:t xml:space="preserve"> ir pienākums nosūtīt atgādinājumu par rēķina samaksu uz e-pasta adresi: </w:t>
      </w:r>
      <w:hyperlink r:id="rId6" w:history="1">
        <w:r w:rsidRPr="0083484A">
          <w:rPr>
            <w:rFonts w:ascii="Times New Roman" w:eastAsia="Times New Roman" w:hAnsi="Times New Roman"/>
            <w:color w:val="0000FF"/>
            <w:u w:val="single"/>
          </w:rPr>
          <w:t>rekini@sigulda.lv</w:t>
        </w:r>
      </w:hyperlink>
      <w:r w:rsidRPr="0083484A">
        <w:rPr>
          <w:rFonts w:ascii="Times New Roman" w:eastAsia="Times New Roman" w:hAnsi="Times New Roman"/>
        </w:rPr>
        <w:t xml:space="preserve">. Gadījumā, ja </w:t>
      </w:r>
      <w:r w:rsidRPr="00C44257">
        <w:rPr>
          <w:rFonts w:ascii="Times New Roman" w:eastAsia="Times New Roman" w:hAnsi="Times New Roman"/>
        </w:rPr>
        <w:t xml:space="preserve">Izpildītājs </w:t>
      </w:r>
      <w:r w:rsidRPr="0083484A">
        <w:rPr>
          <w:rFonts w:ascii="Times New Roman" w:eastAsia="Times New Roman" w:hAnsi="Times New Roman"/>
        </w:rPr>
        <w:t>atgādinājumu</w:t>
      </w:r>
      <w:r w:rsidRPr="00C44257">
        <w:rPr>
          <w:rFonts w:ascii="Times New Roman" w:eastAsia="Times New Roman" w:hAnsi="Times New Roman"/>
        </w:rPr>
        <w:t xml:space="preserve"> nenosūta</w:t>
      </w:r>
      <w:r w:rsidRPr="0083484A">
        <w:rPr>
          <w:rFonts w:ascii="Times New Roman" w:eastAsia="Times New Roman" w:hAnsi="Times New Roman"/>
        </w:rPr>
        <w:t xml:space="preserve"> uz </w:t>
      </w:r>
      <w:r w:rsidRPr="0083484A">
        <w:rPr>
          <w:rFonts w:ascii="Times New Roman" w:hAnsi="Times New Roman"/>
        </w:rPr>
        <w:t xml:space="preserve">e-pasta adresi: </w:t>
      </w:r>
      <w:hyperlink r:id="rId7" w:history="1">
        <w:r w:rsidRPr="0083484A">
          <w:rPr>
            <w:rFonts w:ascii="Times New Roman" w:eastAsia="Times New Roman" w:hAnsi="Times New Roman"/>
            <w:color w:val="0000FF"/>
            <w:u w:val="single"/>
          </w:rPr>
          <w:t>rekini@sigulda.lv</w:t>
        </w:r>
      </w:hyperlink>
      <w:r w:rsidRPr="00C44257">
        <w:rPr>
          <w:rFonts w:ascii="Times New Roman" w:eastAsia="Times New Roman" w:hAnsi="Times New Roman"/>
        </w:rPr>
        <w:t xml:space="preserve">  11. datumā, tad samaksa Izpildītājam</w:t>
      </w:r>
      <w:r w:rsidRPr="0083484A">
        <w:rPr>
          <w:rFonts w:ascii="Times New Roman" w:eastAsia="Times New Roman" w:hAnsi="Times New Roman"/>
        </w:rPr>
        <w:t xml:space="preserve">  tiek pārcelta uz nākamā mēneša maksājumu.</w:t>
      </w:r>
      <w:r w:rsidRPr="00C44257">
        <w:rPr>
          <w:rFonts w:ascii="Times New Roman" w:eastAsia="Times New Roman" w:hAnsi="Times New Roman"/>
        </w:rPr>
        <w:t xml:space="preserve"> Iepriekš minētajā gadījumā</w:t>
      </w:r>
      <w:r w:rsidRPr="0083484A">
        <w:rPr>
          <w:rFonts w:ascii="Times New Roman" w:eastAsia="Times New Roman" w:hAnsi="Times New Roman"/>
        </w:rPr>
        <w:t xml:space="preserve"> </w:t>
      </w:r>
      <w:r w:rsidRPr="00C44257">
        <w:rPr>
          <w:rFonts w:ascii="Times New Roman" w:eastAsia="Times New Roman" w:hAnsi="Times New Roman"/>
        </w:rPr>
        <w:t xml:space="preserve">Izpildītājam nav tiesības pieprasīt Līguma </w:t>
      </w:r>
      <w:r w:rsidRPr="00520364">
        <w:rPr>
          <w:rFonts w:ascii="Times New Roman" w:eastAsia="Times New Roman" w:hAnsi="Times New Roman"/>
        </w:rPr>
        <w:t>3.</w:t>
      </w:r>
      <w:r w:rsidR="00520364" w:rsidRPr="00520364">
        <w:rPr>
          <w:rFonts w:ascii="Times New Roman" w:eastAsia="Times New Roman" w:hAnsi="Times New Roman"/>
        </w:rPr>
        <w:t>2.</w:t>
      </w:r>
      <w:r w:rsidRPr="00520364">
        <w:rPr>
          <w:rFonts w:ascii="Times New Roman" w:eastAsia="Times New Roman" w:hAnsi="Times New Roman"/>
        </w:rPr>
        <w:t>apakšpunktā minēto līgumsodu.</w:t>
      </w:r>
    </w:p>
    <w:p w:rsidR="000F5F34" w:rsidRPr="00601DA8" w:rsidRDefault="000F5F34" w:rsidP="000F5F34">
      <w:pPr>
        <w:widowControl w:val="0"/>
        <w:autoSpaceDE w:val="0"/>
        <w:autoSpaceDN w:val="0"/>
        <w:adjustRightInd w:val="0"/>
        <w:spacing w:after="120" w:line="276" w:lineRule="auto"/>
        <w:ind w:left="79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Pušu atbildība</w:t>
      </w:r>
    </w:p>
    <w:p w:rsidR="00601DA8" w:rsidRPr="00520364" w:rsidRDefault="00601DA8" w:rsidP="00520364">
      <w:pPr>
        <w:pStyle w:val="ListParagraph"/>
        <w:widowControl w:val="0"/>
        <w:numPr>
          <w:ilvl w:val="1"/>
          <w:numId w:val="1"/>
        </w:numPr>
        <w:autoSpaceDE w:val="0"/>
        <w:autoSpaceDN w:val="0"/>
        <w:adjustRightInd w:val="0"/>
        <w:spacing w:after="0" w:line="276" w:lineRule="auto"/>
        <w:ind w:left="142" w:hanging="426"/>
        <w:jc w:val="both"/>
        <w:rPr>
          <w:rFonts w:ascii="Times New Roman" w:eastAsia="Calibri" w:hAnsi="Times New Roman" w:cs="Times New Roman"/>
        </w:rPr>
      </w:pPr>
      <w:r w:rsidRPr="00520364">
        <w:rPr>
          <w:rFonts w:ascii="Times New Roman" w:eastAsia="Calibri" w:hAnsi="Times New Roman" w:cs="Times New Roman"/>
        </w:rPr>
        <w:t>Par</w:t>
      </w:r>
      <w:r w:rsidR="006373B0">
        <w:rPr>
          <w:rFonts w:ascii="Times New Roman" w:eastAsia="Calibri" w:hAnsi="Times New Roman" w:cs="Times New Roman"/>
        </w:rPr>
        <w:t xml:space="preserve"> Tehniskajā specifikācijā</w:t>
      </w:r>
      <w:r w:rsidRPr="00520364">
        <w:rPr>
          <w:rFonts w:ascii="Times New Roman" w:eastAsia="Calibri" w:hAnsi="Times New Roman" w:cs="Times New Roman"/>
        </w:rPr>
        <w:t xml:space="preserve"> noteiktā Pakalpojuma sniegšanas termiņa neievērošanu Izpildītājs maksā Pasūtītājam līgumsodu EUR 5.00 (pieci </w:t>
      </w:r>
      <w:r w:rsidRPr="00520364">
        <w:rPr>
          <w:rFonts w:ascii="Times New Roman" w:eastAsia="Calibri" w:hAnsi="Times New Roman" w:cs="Times New Roman"/>
          <w:i/>
        </w:rPr>
        <w:t>euro</w:t>
      </w:r>
      <w:r w:rsidRPr="00520364">
        <w:rPr>
          <w:rFonts w:ascii="Times New Roman" w:eastAsia="Calibri" w:hAnsi="Times New Roman" w:cs="Times New Roman"/>
        </w:rPr>
        <w:t xml:space="preserve"> un 00 centi) apmērā par katru nokavēto darba stundu, izņemot gadījumus, kad Pakalpojuma sniegšanas termiņi aizkavējas Pasūtītāja vainas dēļ.</w:t>
      </w:r>
    </w:p>
    <w:p w:rsidR="00601DA8" w:rsidRPr="00601DA8" w:rsidRDefault="00601DA8" w:rsidP="00520364">
      <w:pPr>
        <w:widowControl w:val="0"/>
        <w:numPr>
          <w:ilvl w:val="1"/>
          <w:numId w:val="1"/>
        </w:numPr>
        <w:autoSpaceDE w:val="0"/>
        <w:autoSpaceDN w:val="0"/>
        <w:adjustRightInd w:val="0"/>
        <w:spacing w:after="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Par maksājuma termiņu nokavējumu, Izpildītājam ir tiesības prasīt un Pasūtītājam ir pienākums maksāt nokavējuma procentus 0,2</w:t>
      </w:r>
      <w:r w:rsidR="006373B0">
        <w:rPr>
          <w:rFonts w:ascii="Times New Roman" w:eastAsia="Calibri" w:hAnsi="Times New Roman" w:cs="Times New Roman"/>
        </w:rPr>
        <w:t xml:space="preserve"> % (nulle komats divi</w:t>
      </w:r>
      <w:r w:rsidRPr="00601DA8">
        <w:rPr>
          <w:rFonts w:ascii="Times New Roman" w:eastAsia="Calibri" w:hAnsi="Times New Roman" w:cs="Times New Roman"/>
        </w:rPr>
        <w:t xml:space="preserve"> procenti) apmērā no termiņā nesamaksātās naudas summas (bez PVN) par katru nokavējuma dienu, taču </w:t>
      </w:r>
      <w:r w:rsidRPr="00601DA8">
        <w:rPr>
          <w:rFonts w:ascii="Times New Roman" w:eastAsia="Calibri" w:hAnsi="Times New Roman" w:cs="Times New Roman"/>
        </w:rPr>
        <w:lastRenderedPageBreak/>
        <w:t>nepārsniedzot 10% (desmit procentus) no termiņā nesamaksātās naudas summas (bez PVN).</w:t>
      </w:r>
    </w:p>
    <w:p w:rsidR="00601DA8" w:rsidRDefault="00601DA8" w:rsidP="004F0A99">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Līgumsoda samaksa neatbrīvo Puses no Līgumā minēto saistību izpildes un no zaudējumu atlīdzināšanas pienākuma. Puses ir atbildīgi par otrai Pusei nodarītajiem zaudējumiem saskaņā ar Latvijas Republikas normatīvajiem aktiem.</w:t>
      </w:r>
    </w:p>
    <w:p w:rsidR="00747F52" w:rsidRPr="00601DA8" w:rsidRDefault="00747F52" w:rsidP="00747F52">
      <w:pPr>
        <w:widowControl w:val="0"/>
        <w:autoSpaceDE w:val="0"/>
        <w:autoSpaceDN w:val="0"/>
        <w:adjustRightInd w:val="0"/>
        <w:spacing w:after="120" w:line="276" w:lineRule="auto"/>
        <w:ind w:left="14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Līguma spēkā stāšanās kārtība, darbības termiņš un pirmstermiņa izbeigšana</w:t>
      </w:r>
    </w:p>
    <w:p w:rsidR="00601DA8" w:rsidRPr="00601DA8" w:rsidRDefault="00601DA8" w:rsidP="00747F52">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Līgums stājas spēkā ar tā abpusējas parakstīšanas brīdi un ir spēkā līdz Līdzēju saistību pilnīgai izpildei.</w:t>
      </w:r>
    </w:p>
    <w:p w:rsidR="00601DA8" w:rsidRPr="00601DA8" w:rsidRDefault="00601DA8" w:rsidP="00747F52">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Izpildītājs sniedz Pakalpojumus līdz iestājas viens no nosacījumiem (atkarībā, kurš no Līguma nosacījumiem iestājas ātrāk):</w:t>
      </w:r>
    </w:p>
    <w:p w:rsidR="00601DA8" w:rsidRPr="00601DA8" w:rsidRDefault="00A10DDF"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Pr>
          <w:rFonts w:ascii="Times New Roman" w:eastAsia="Calibri" w:hAnsi="Times New Roman" w:cs="Times New Roman"/>
        </w:rPr>
        <w:t>ir pagājis 1(viens</w:t>
      </w:r>
      <w:r w:rsidR="00601DA8" w:rsidRPr="00601DA8">
        <w:rPr>
          <w:rFonts w:ascii="Times New Roman" w:eastAsia="Calibri" w:hAnsi="Times New Roman" w:cs="Times New Roman"/>
        </w:rPr>
        <w:t xml:space="preserve">) </w:t>
      </w:r>
      <w:r>
        <w:rPr>
          <w:rFonts w:ascii="Times New Roman" w:eastAsia="Calibri" w:hAnsi="Times New Roman" w:cs="Times New Roman"/>
        </w:rPr>
        <w:t xml:space="preserve">gads </w:t>
      </w:r>
      <w:r w:rsidR="00601DA8" w:rsidRPr="00601DA8">
        <w:rPr>
          <w:rFonts w:ascii="Times New Roman" w:eastAsia="Calibri" w:hAnsi="Times New Roman" w:cs="Times New Roman"/>
        </w:rPr>
        <w:t>no Līguma noslēgšanas;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Izpildītājam ir sama</w:t>
      </w:r>
      <w:r w:rsidR="006B56A5">
        <w:rPr>
          <w:rFonts w:ascii="Times New Roman" w:eastAsia="Calibri" w:hAnsi="Times New Roman" w:cs="Times New Roman"/>
        </w:rPr>
        <w:t xml:space="preserve">ksāta Līguma 2.1. punktā minētā </w:t>
      </w:r>
      <w:r w:rsidRPr="00601DA8">
        <w:rPr>
          <w:rFonts w:ascii="Times New Roman" w:eastAsia="Calibri" w:hAnsi="Times New Roman" w:cs="Times New Roman"/>
        </w:rPr>
        <w:t xml:space="preserve">Līguma kopējā </w:t>
      </w:r>
      <w:r w:rsidR="006B56A5">
        <w:rPr>
          <w:rFonts w:ascii="Times New Roman" w:eastAsia="Calibri" w:hAnsi="Times New Roman" w:cs="Times New Roman"/>
        </w:rPr>
        <w:t>summa.</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Pasūtītājs, nosūtot Izpildītājam rakstisku paziņojumu, ir tiesīgs vienpusēji izbeigt Līgumu šādos gadījumos: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Izpildītājs kavē Pakalpojumu izpildi ilgāk par 2 (divām) nedēļām;</w:t>
      </w:r>
    </w:p>
    <w:p w:rsid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Izpildītājs ir pārkāpis Līguma saistību izpildi vismaz 2 (divas) reizes.</w:t>
      </w:r>
    </w:p>
    <w:p w:rsidR="006B56A5" w:rsidRPr="00601DA8" w:rsidRDefault="006B56A5" w:rsidP="006B56A5">
      <w:pPr>
        <w:widowControl w:val="0"/>
        <w:autoSpaceDE w:val="0"/>
        <w:autoSpaceDN w:val="0"/>
        <w:adjustRightInd w:val="0"/>
        <w:spacing w:after="120" w:line="276" w:lineRule="auto"/>
        <w:ind w:left="1224"/>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Nepārvaramas varas apstākļi</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Puses tiek atbrīvotas no atbildības par daļēju vai pilnīgu Līgumā paredzēto saistību neizpildi, ja saistību neizpilde radusies nepārvaramu ārkārtēja rakstura apstākļu rezultātā, kurus Puses nevarēja iepriekš paredzēt un novērst.</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Pie šādiem apstākļiem pieskaitāmi – ugunsnelaime, kara darbība, vispārēja avārija, epidēmija, dabas stihija, kā arī likumdevēja, izpildinstitūciju un tiesu darbības un to pieņemtie akti, kā arī citi apstākļi, kas neiekļaujas Pušu iespējamās kontroles un ietekmes robežās.</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Par nepārvaramas varas apstākli un saistību neizpildes vai neatbilstošu izpildes attaisnojumu nevar tikt atzīts Izpildītāja un citu iesaistīto personu saistību neizpilde vai nesavlaicīga izpilde.</w:t>
      </w:r>
    </w:p>
    <w:p w:rsidR="00601DA8" w:rsidRP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Tai Pusei, kas atsaucas uz nepārvaramu, ārkārtēja rakstura apstākļu darbību, 5 (piecu) darba dienu laikā par tiem jāpaziņo otrai Pusei, norādot iespējamo saistību izpildes termiņu.</w:t>
      </w:r>
    </w:p>
    <w:p w:rsidR="00601DA8" w:rsidRDefault="00601DA8" w:rsidP="006B56A5">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Ja nepārvaramu ārkārtēja rakstura apstākļu dēļ Līguma izpilde aizkavējas vairāk kā par 30 (trīsdesmit) dienām, katrai no Pusēm ir tiesības vienpusēji lauzt Līgumu. Ja Līgums šādā kārtā tiek izbeigts, nevienai no Pusei nav tiesību pieprasīt no otras Puses zaudējumu atlīdzību.</w:t>
      </w:r>
    </w:p>
    <w:p w:rsidR="005E45AB" w:rsidRPr="00601DA8" w:rsidRDefault="005E45AB" w:rsidP="005E45AB">
      <w:pPr>
        <w:widowControl w:val="0"/>
        <w:autoSpaceDE w:val="0"/>
        <w:autoSpaceDN w:val="0"/>
        <w:adjustRightInd w:val="0"/>
        <w:spacing w:after="120" w:line="276" w:lineRule="auto"/>
        <w:ind w:left="142"/>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Citi noteikumi</w:t>
      </w:r>
    </w:p>
    <w:p w:rsidR="005E45AB"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Jebkuras izmaiņas vai papildinājumi Līgumā, ciktāl tie nav pretrunā ar Latvijas Republikas normatīvajiem aktiem publisko iepirkumu jomā, jānoformē rakstiski un jāparaksta abām Pusēm. Šādas izmaiņas un papildinājumi ar to parakstīšanas brīdi kļūst par Līguma neatņemamu sastāvdaļu.</w:t>
      </w:r>
    </w:p>
    <w:p w:rsidR="005E45AB"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Līguma izpildes laikā radušos strīdus Puses risina sarunu ceļā vienojoties vai, ja vienošanās nav iespējama, strīdu izskata tiesā normatīvajos aktos noteiktajā kārtībā.</w:t>
      </w:r>
    </w:p>
    <w:p w:rsidR="00601DA8" w:rsidRPr="00601DA8" w:rsidRDefault="00601DA8" w:rsidP="005E45AB">
      <w:pPr>
        <w:widowControl w:val="0"/>
        <w:numPr>
          <w:ilvl w:val="1"/>
          <w:numId w:val="1"/>
        </w:numPr>
        <w:autoSpaceDE w:val="0"/>
        <w:autoSpaceDN w:val="0"/>
        <w:adjustRightInd w:val="0"/>
        <w:spacing w:after="120" w:line="276" w:lineRule="auto"/>
        <w:ind w:left="142" w:hanging="426"/>
        <w:contextualSpacing/>
        <w:jc w:val="both"/>
        <w:rPr>
          <w:rFonts w:ascii="Times New Roman" w:eastAsia="Calibri" w:hAnsi="Times New Roman" w:cs="Times New Roman"/>
        </w:rPr>
      </w:pPr>
      <w:r w:rsidRPr="00601DA8">
        <w:rPr>
          <w:rFonts w:ascii="Times New Roman" w:eastAsia="Calibri" w:hAnsi="Times New Roman" w:cs="Times New Roman"/>
        </w:rPr>
        <w:t>Pušu pilnvarotie pārstāvji Līguma izpildē ir:</w:t>
      </w:r>
    </w:p>
    <w:p w:rsidR="00601DA8" w:rsidRPr="00C7728C" w:rsidRDefault="00601DA8" w:rsidP="00C7728C">
      <w:pPr>
        <w:pStyle w:val="ListParagraph"/>
        <w:numPr>
          <w:ilvl w:val="2"/>
          <w:numId w:val="1"/>
        </w:numPr>
        <w:spacing w:before="120" w:after="120" w:line="240" w:lineRule="auto"/>
        <w:jc w:val="both"/>
        <w:rPr>
          <w:rFonts w:ascii="Times New Roman" w:eastAsia="Times New Roman" w:hAnsi="Times New Roman" w:cs="Times New Roman"/>
          <w:i/>
        </w:rPr>
      </w:pPr>
      <w:r w:rsidRPr="00C7728C">
        <w:rPr>
          <w:rFonts w:ascii="Times New Roman" w:eastAsia="Calibri" w:hAnsi="Times New Roman" w:cs="Times New Roman"/>
        </w:rPr>
        <w:t xml:space="preserve">Pasūtītāja pilnvarotais pārstāvis ir </w:t>
      </w:r>
      <w:r w:rsidR="005E45AB" w:rsidRPr="00C7728C">
        <w:rPr>
          <w:rFonts w:ascii="Times New Roman" w:eastAsia="Calibri" w:hAnsi="Times New Roman" w:cs="Times New Roman"/>
        </w:rPr>
        <w:t xml:space="preserve"> </w:t>
      </w:r>
      <w:r w:rsidR="005E45AB" w:rsidRPr="00C7728C">
        <w:rPr>
          <w:rFonts w:ascii="Times New Roman" w:eastAsia="Times New Roman" w:hAnsi="Times New Roman" w:cs="Times New Roman"/>
        </w:rPr>
        <w:t xml:space="preserve">Informāciju tehnoloģijas nodaļas Vecākais datortīklu administrators Dzintars Strads, tālr. 67800949, e-pasta adrese: </w:t>
      </w:r>
      <w:hyperlink r:id="rId8" w:history="1">
        <w:r w:rsidR="005E45AB" w:rsidRPr="00C7728C">
          <w:rPr>
            <w:rStyle w:val="Hyperlink"/>
            <w:rFonts w:ascii="Times New Roman" w:eastAsia="Times New Roman" w:hAnsi="Times New Roman" w:cs="Times New Roman"/>
          </w:rPr>
          <w:t>dzintars@sigulda.lv</w:t>
        </w:r>
      </w:hyperlink>
      <w:r w:rsidR="005E45AB" w:rsidRPr="00C7728C">
        <w:rPr>
          <w:rFonts w:ascii="Times New Roman" w:eastAsia="Times New Roman" w:hAnsi="Times New Roman" w:cs="Times New Roman"/>
        </w:rPr>
        <w:t xml:space="preserve">, </w:t>
      </w:r>
      <w:r w:rsidRPr="00C7728C">
        <w:rPr>
          <w:rFonts w:ascii="Times New Roman" w:eastAsia="Calibri" w:hAnsi="Times New Roman" w:cs="Times New Roman"/>
        </w:rPr>
        <w:t>tai skaitā ar tiesībām kontrolēt Līguma izpildi, pasūtīt un pieņemt Pakalpojumus, iesniegt pretenzijas par Pakalpojumu izpildi, kā arī parakstīt jebkādus ar to saistītos dokumentus.</w:t>
      </w:r>
    </w:p>
    <w:p w:rsidR="00601DA8" w:rsidRPr="00601DA8" w:rsidRDefault="00601DA8" w:rsidP="00601DA8">
      <w:pPr>
        <w:widowControl w:val="0"/>
        <w:numPr>
          <w:ilvl w:val="2"/>
          <w:numId w:val="1"/>
        </w:numPr>
        <w:autoSpaceDE w:val="0"/>
        <w:autoSpaceDN w:val="0"/>
        <w:adjustRightInd w:val="0"/>
        <w:spacing w:after="120" w:line="276" w:lineRule="auto"/>
        <w:contextualSpacing/>
        <w:jc w:val="both"/>
        <w:rPr>
          <w:rFonts w:ascii="Times New Roman" w:eastAsia="Calibri" w:hAnsi="Times New Roman" w:cs="Times New Roman"/>
        </w:rPr>
      </w:pPr>
      <w:r w:rsidRPr="00601DA8">
        <w:rPr>
          <w:rFonts w:ascii="Times New Roman" w:eastAsia="Calibri" w:hAnsi="Times New Roman" w:cs="Times New Roman"/>
        </w:rPr>
        <w:t>Izpildītāja pilnvarotais pārstāvis ir __________, e-pasts: ___________, mob.: ____________, tai skaitā ar tiesībām pieņemt izpildei Pakalpojumu pasūtījumus, pieņemt izpildei Pasūtītāja pretenzijas, nodot Pakalpojumus, kā arī parakstīt jebkādus ar to saistītos dokumentus.</w:t>
      </w:r>
    </w:p>
    <w:p w:rsidR="00601DA8" w:rsidRP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lastRenderedPageBreak/>
        <w:t>Ja kādai no Pusēm tiek mainīts juridiskais statuss, atrašanās vieta vai citi Līgumā minēti rekvizīti, tad tas nekavējoties paziņo par to otrai Pusei. Ja Puse neizpilda šī apakšpunkta noteikumus, uzskatāms, ka otra Puse ir pilnībā izpildījusi savas saistības, lietojot šajā Līgumā esošo informāciju par otru Pusi.</w:t>
      </w:r>
    </w:p>
    <w:p w:rsidR="00601DA8" w:rsidRP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t>Puses nav tiesīgas pilnīgi vai daļēji nodot Līgumā noteiktās tiesības, pienākumus un saistības trešajām personām bez otras Puses rakstiskas piekrišanas.</w:t>
      </w:r>
    </w:p>
    <w:p w:rsidR="00601DA8" w:rsidRDefault="00601DA8" w:rsidP="005E45AB">
      <w:pPr>
        <w:widowControl w:val="0"/>
        <w:numPr>
          <w:ilvl w:val="1"/>
          <w:numId w:val="1"/>
        </w:numPr>
        <w:autoSpaceDE w:val="0"/>
        <w:autoSpaceDN w:val="0"/>
        <w:adjustRightInd w:val="0"/>
        <w:spacing w:after="120" w:line="276" w:lineRule="auto"/>
        <w:ind w:left="284" w:hanging="568"/>
        <w:contextualSpacing/>
        <w:jc w:val="both"/>
        <w:rPr>
          <w:rFonts w:ascii="Times New Roman" w:eastAsia="Calibri" w:hAnsi="Times New Roman" w:cs="Times New Roman"/>
        </w:rPr>
      </w:pPr>
      <w:r w:rsidRPr="00601DA8">
        <w:rPr>
          <w:rFonts w:ascii="Times New Roman" w:eastAsia="Calibri" w:hAnsi="Times New Roman" w:cs="Times New Roman"/>
        </w:rPr>
        <w:t>Līgums sastādīts un parakstīts divos eksemplāros, pa vienam eksemplāram katram Līdzējam. Abiem Līguma eksemplāriem ir vienāds juridiskais spēks.</w:t>
      </w:r>
    </w:p>
    <w:p w:rsidR="005E45AB" w:rsidRPr="00601DA8" w:rsidRDefault="005E45AB" w:rsidP="005E45AB">
      <w:pPr>
        <w:widowControl w:val="0"/>
        <w:autoSpaceDE w:val="0"/>
        <w:autoSpaceDN w:val="0"/>
        <w:adjustRightInd w:val="0"/>
        <w:spacing w:after="120" w:line="276" w:lineRule="auto"/>
        <w:ind w:left="284"/>
        <w:contextualSpacing/>
        <w:jc w:val="both"/>
        <w:rPr>
          <w:rFonts w:ascii="Times New Roman" w:eastAsia="Calibri" w:hAnsi="Times New Roman" w:cs="Times New Roman"/>
        </w:rPr>
      </w:pPr>
    </w:p>
    <w:p w:rsidR="00601DA8" w:rsidRPr="00601DA8" w:rsidRDefault="00601DA8" w:rsidP="00601DA8">
      <w:pPr>
        <w:widowControl w:val="0"/>
        <w:numPr>
          <w:ilvl w:val="0"/>
          <w:numId w:val="1"/>
        </w:numPr>
        <w:autoSpaceDE w:val="0"/>
        <w:autoSpaceDN w:val="0"/>
        <w:adjustRightInd w:val="0"/>
        <w:spacing w:after="120" w:line="276" w:lineRule="auto"/>
        <w:contextualSpacing/>
        <w:jc w:val="both"/>
        <w:rPr>
          <w:rFonts w:ascii="Times New Roman" w:eastAsia="Calibri" w:hAnsi="Times New Roman" w:cs="Times New Roman"/>
          <w:b/>
        </w:rPr>
      </w:pPr>
      <w:r w:rsidRPr="00601DA8">
        <w:rPr>
          <w:rFonts w:ascii="Times New Roman" w:eastAsia="Calibri" w:hAnsi="Times New Roman" w:cs="Times New Roman"/>
          <w:b/>
        </w:rPr>
        <w:t>Pušu rekvizīti un paraksti</w:t>
      </w:r>
    </w:p>
    <w:tbl>
      <w:tblPr>
        <w:tblW w:w="9606" w:type="dxa"/>
        <w:tblLayout w:type="fixed"/>
        <w:tblLook w:val="0000" w:firstRow="0" w:lastRow="0" w:firstColumn="0" w:lastColumn="0" w:noHBand="0" w:noVBand="0"/>
      </w:tblPr>
      <w:tblGrid>
        <w:gridCol w:w="4428"/>
        <w:gridCol w:w="608"/>
        <w:gridCol w:w="3820"/>
        <w:gridCol w:w="750"/>
      </w:tblGrid>
      <w:tr w:rsidR="00601DA8" w:rsidRPr="00601DA8" w:rsidTr="00601DA8">
        <w:trPr>
          <w:gridAfter w:val="1"/>
          <w:wAfter w:w="750" w:type="dxa"/>
        </w:trPr>
        <w:tc>
          <w:tcPr>
            <w:tcW w:w="4428" w:type="dxa"/>
          </w:tcPr>
          <w:p w:rsidR="00601DA8" w:rsidRPr="00601DA8" w:rsidRDefault="00601DA8" w:rsidP="00601DA8">
            <w:pPr>
              <w:widowControl w:val="0"/>
              <w:autoSpaceDE w:val="0"/>
              <w:autoSpaceDN w:val="0"/>
              <w:adjustRightInd w:val="0"/>
              <w:spacing w:after="0" w:line="240" w:lineRule="auto"/>
              <w:rPr>
                <w:rFonts w:ascii="Times New Roman" w:eastAsia="Times New Roman" w:hAnsi="Times New Roman" w:cs="Times New Roman"/>
                <w:b/>
                <w:lang w:eastAsia="lv-LV"/>
              </w:rPr>
            </w:pPr>
            <w:r w:rsidRPr="00601DA8">
              <w:rPr>
                <w:rFonts w:ascii="Times New Roman" w:eastAsia="Times New Roman" w:hAnsi="Times New Roman" w:cs="Times New Roman"/>
                <w:b/>
                <w:lang w:eastAsia="lv-LV"/>
              </w:rPr>
              <w:t>Pasūtītājs:</w:t>
            </w:r>
          </w:p>
        </w:tc>
        <w:tc>
          <w:tcPr>
            <w:tcW w:w="4428" w:type="dxa"/>
            <w:gridSpan w:val="2"/>
          </w:tcPr>
          <w:p w:rsidR="00601DA8" w:rsidRPr="00601DA8" w:rsidRDefault="00601DA8" w:rsidP="00601DA8">
            <w:pPr>
              <w:widowControl w:val="0"/>
              <w:autoSpaceDE w:val="0"/>
              <w:autoSpaceDN w:val="0"/>
              <w:adjustRightInd w:val="0"/>
              <w:spacing w:after="0" w:line="240" w:lineRule="auto"/>
              <w:rPr>
                <w:rFonts w:ascii="Times New Roman" w:eastAsia="Times New Roman" w:hAnsi="Times New Roman" w:cs="Times New Roman"/>
                <w:b/>
                <w:lang w:eastAsia="lv-LV"/>
              </w:rPr>
            </w:pPr>
            <w:r w:rsidRPr="00601DA8">
              <w:rPr>
                <w:rFonts w:ascii="Times New Roman" w:eastAsia="Times New Roman" w:hAnsi="Times New Roman" w:cs="Times New Roman"/>
                <w:b/>
                <w:lang w:eastAsia="lv-LV"/>
              </w:rPr>
              <w:t>Izpildītājs:</w:t>
            </w:r>
          </w:p>
        </w:tc>
      </w:tr>
      <w:tr w:rsidR="00601DA8" w:rsidRPr="004544DA" w:rsidTr="00601DA8">
        <w:tblPrEx>
          <w:tblLook w:val="00A0" w:firstRow="1" w:lastRow="0" w:firstColumn="1" w:lastColumn="0" w:noHBand="0" w:noVBand="0"/>
        </w:tblPrEx>
        <w:tc>
          <w:tcPr>
            <w:tcW w:w="5036" w:type="dxa"/>
            <w:gridSpan w:val="2"/>
          </w:tcPr>
          <w:p w:rsidR="00601DA8" w:rsidRPr="004544DA" w:rsidRDefault="00601DA8" w:rsidP="00ED6D5F">
            <w:pPr>
              <w:tabs>
                <w:tab w:val="left" w:pos="4820"/>
              </w:tabs>
              <w:suppressAutoHyphens/>
              <w:spacing w:after="0" w:line="280" w:lineRule="exact"/>
              <w:jc w:val="both"/>
              <w:rPr>
                <w:rFonts w:ascii="Garamond" w:eastAsia="Times New Roman" w:hAnsi="Garamond" w:cs="Times New Roman"/>
                <w:b/>
                <w:lang w:eastAsia="zh-CN"/>
              </w:rPr>
            </w:pPr>
          </w:p>
        </w:tc>
        <w:tc>
          <w:tcPr>
            <w:tcW w:w="4570" w:type="dxa"/>
            <w:gridSpan w:val="2"/>
          </w:tcPr>
          <w:p w:rsidR="00601DA8" w:rsidRPr="004544DA" w:rsidRDefault="00601DA8" w:rsidP="00ED6D5F">
            <w:pPr>
              <w:tabs>
                <w:tab w:val="left" w:pos="4820"/>
              </w:tabs>
              <w:suppressAutoHyphens/>
              <w:spacing w:after="0" w:line="280" w:lineRule="exact"/>
              <w:jc w:val="both"/>
              <w:rPr>
                <w:rFonts w:ascii="Garamond" w:eastAsia="Times New Roman" w:hAnsi="Garamond" w:cs="Times New Roman"/>
                <w:b/>
                <w:lang w:eastAsia="zh-CN"/>
              </w:rPr>
            </w:pPr>
          </w:p>
        </w:tc>
      </w:tr>
      <w:tr w:rsidR="00601DA8" w:rsidRPr="00601DA8" w:rsidTr="00601DA8">
        <w:tblPrEx>
          <w:tblLook w:val="00A0" w:firstRow="1" w:lastRow="0" w:firstColumn="1" w:lastColumn="0" w:noHBand="0" w:noVBand="0"/>
        </w:tblPrEx>
        <w:tc>
          <w:tcPr>
            <w:tcW w:w="5036" w:type="dxa"/>
            <w:gridSpan w:val="2"/>
          </w:tcPr>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b/>
                <w:lang w:eastAsia="zh-CN"/>
              </w:rPr>
            </w:pPr>
            <w:r w:rsidRPr="00601DA8">
              <w:rPr>
                <w:rFonts w:ascii="Times New Roman" w:eastAsia="Times New Roman" w:hAnsi="Times New Roman" w:cs="Times New Roman"/>
                <w:b/>
                <w:lang w:eastAsia="zh-CN"/>
              </w:rPr>
              <w:t>Siguldas novada Dome</w:t>
            </w:r>
            <w:r w:rsidRPr="00601DA8">
              <w:rPr>
                <w:rFonts w:ascii="Times New Roman" w:eastAsia="Times New Roman" w:hAnsi="Times New Roman" w:cs="Times New Roman"/>
                <w:b/>
                <w:lang w:eastAsia="zh-CN"/>
              </w:rPr>
              <w:tab/>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reģ.Nr.90000048152</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Pils iela 16, LV - 2150</w:t>
            </w:r>
          </w:p>
          <w:p w:rsidR="00601DA8" w:rsidRPr="00601DA8" w:rsidRDefault="00601DA8" w:rsidP="00ED6D5F">
            <w:pPr>
              <w:suppressAutoHyphens/>
              <w:spacing w:after="0" w:line="280" w:lineRule="exact"/>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konta Nr. LV15UNLA0027800130404</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Banka</w:t>
            </w:r>
            <w:r w:rsidRPr="00601DA8">
              <w:rPr>
                <w:rFonts w:ascii="Times New Roman" w:eastAsia="Times New Roman" w:hAnsi="Times New Roman" w:cs="Times New Roman"/>
                <w:b/>
                <w:lang w:eastAsia="zh-CN"/>
              </w:rPr>
              <w:t xml:space="preserve">: </w:t>
            </w:r>
            <w:r w:rsidRPr="00601DA8">
              <w:rPr>
                <w:rFonts w:ascii="Times New Roman" w:eastAsia="Times New Roman" w:hAnsi="Times New Roman" w:cs="Times New Roman"/>
                <w:lang w:eastAsia="zh-CN"/>
              </w:rPr>
              <w:t>AS SEB BANKA, Siguldas filiāle</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Bankas kods: UNLALV2X</w:t>
            </w:r>
          </w:p>
          <w:p w:rsidR="00601DA8" w:rsidRPr="00601DA8" w:rsidRDefault="00601DA8" w:rsidP="00ED6D5F">
            <w:pPr>
              <w:tabs>
                <w:tab w:val="left" w:pos="4820"/>
              </w:tabs>
              <w:suppressAutoHyphens/>
              <w:spacing w:after="0" w:line="280" w:lineRule="exact"/>
              <w:jc w:val="both"/>
              <w:rPr>
                <w:rFonts w:ascii="Times New Roman" w:eastAsia="Times New Roman" w:hAnsi="Times New Roman" w:cs="Times New Roman"/>
                <w:lang w:eastAsia="zh-CN"/>
              </w:rPr>
            </w:pPr>
            <w:r w:rsidRPr="00601DA8">
              <w:rPr>
                <w:rFonts w:ascii="Times New Roman" w:eastAsia="Times New Roman" w:hAnsi="Times New Roman" w:cs="Times New Roman"/>
                <w:lang w:eastAsia="zh-CN"/>
              </w:rPr>
              <w:tab/>
            </w:r>
          </w:p>
          <w:p w:rsidR="00601DA8" w:rsidRPr="00601DA8" w:rsidRDefault="00601DA8" w:rsidP="00ED6D5F">
            <w:pPr>
              <w:spacing w:after="0" w:line="280" w:lineRule="exact"/>
              <w:rPr>
                <w:rFonts w:ascii="Times New Roman" w:eastAsia="Times New Roman" w:hAnsi="Times New Roman" w:cs="Times New Roman"/>
              </w:rPr>
            </w:pPr>
          </w:p>
          <w:p w:rsidR="00601DA8" w:rsidRPr="00601DA8" w:rsidRDefault="00601DA8" w:rsidP="00ED6D5F">
            <w:pPr>
              <w:spacing w:after="0" w:line="280" w:lineRule="exact"/>
              <w:rPr>
                <w:rFonts w:ascii="Times New Roman" w:eastAsia="Times New Roman" w:hAnsi="Times New Roman" w:cs="Times New Roman"/>
              </w:rPr>
            </w:pPr>
            <w:r w:rsidRPr="00601DA8">
              <w:rPr>
                <w:rFonts w:ascii="Times New Roman" w:eastAsia="Times New Roman" w:hAnsi="Times New Roman" w:cs="Times New Roman"/>
              </w:rPr>
              <w:t>____________________</w:t>
            </w:r>
          </w:p>
          <w:p w:rsidR="00601DA8" w:rsidRPr="00601DA8" w:rsidRDefault="00601DA8" w:rsidP="00ED6D5F">
            <w:pPr>
              <w:spacing w:after="0" w:line="280" w:lineRule="exact"/>
              <w:rPr>
                <w:rFonts w:ascii="Times New Roman" w:eastAsia="Times New Roman" w:hAnsi="Times New Roman" w:cs="Times New Roman"/>
              </w:rPr>
            </w:pPr>
            <w:r w:rsidRPr="00601DA8">
              <w:rPr>
                <w:rFonts w:ascii="Times New Roman" w:eastAsia="Times New Roman" w:hAnsi="Times New Roman" w:cs="Times New Roman"/>
              </w:rPr>
              <w:t>U. Mitrevics</w:t>
            </w:r>
          </w:p>
        </w:tc>
        <w:tc>
          <w:tcPr>
            <w:tcW w:w="4570" w:type="dxa"/>
            <w:gridSpan w:val="2"/>
          </w:tcPr>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lang w:eastAsia="zh-CN"/>
              </w:rPr>
            </w:pPr>
          </w:p>
          <w:p w:rsidR="00601DA8" w:rsidRPr="00601DA8" w:rsidRDefault="00601DA8" w:rsidP="00ED6D5F">
            <w:pPr>
              <w:spacing w:after="0" w:line="280" w:lineRule="exact"/>
              <w:rPr>
                <w:rFonts w:ascii="Times New Roman" w:eastAsia="Times New Roman" w:hAnsi="Times New Roman" w:cs="Times New Roman"/>
              </w:rPr>
            </w:pPr>
            <w:r w:rsidRPr="00601DA8">
              <w:rPr>
                <w:rFonts w:ascii="Times New Roman" w:eastAsia="Times New Roman" w:hAnsi="Times New Roman" w:cs="Times New Roman"/>
              </w:rPr>
              <w:t>____________________</w:t>
            </w:r>
          </w:p>
          <w:p w:rsidR="00601DA8" w:rsidRPr="00601DA8" w:rsidRDefault="00601DA8" w:rsidP="00ED6D5F">
            <w:pPr>
              <w:spacing w:after="0" w:line="280" w:lineRule="exact"/>
              <w:rPr>
                <w:rFonts w:ascii="Times New Roman" w:eastAsia="Times New Roman" w:hAnsi="Times New Roman" w:cs="Times New Roman"/>
              </w:rPr>
            </w:pPr>
          </w:p>
        </w:tc>
      </w:tr>
    </w:tbl>
    <w:p w:rsidR="00601DA8" w:rsidRPr="00601DA8" w:rsidRDefault="00601DA8" w:rsidP="00601DA8">
      <w:pPr>
        <w:widowControl w:val="0"/>
        <w:autoSpaceDE w:val="0"/>
        <w:autoSpaceDN w:val="0"/>
        <w:adjustRightInd w:val="0"/>
        <w:spacing w:after="120" w:line="240" w:lineRule="auto"/>
        <w:jc w:val="both"/>
        <w:rPr>
          <w:rFonts w:ascii="Times New Roman" w:eastAsia="Times New Roman" w:hAnsi="Times New Roman" w:cs="Times New Roman"/>
          <w:lang w:eastAsia="lv-LV"/>
        </w:rPr>
      </w:pPr>
    </w:p>
    <w:sectPr w:rsidR="00601DA8" w:rsidRPr="00601DA8" w:rsidSect="00035886">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305F08"/>
    <w:multiLevelType w:val="multilevel"/>
    <w:tmpl w:val="12CA435E"/>
    <w:lvl w:ilvl="0">
      <w:start w:val="1"/>
      <w:numFmt w:val="decimal"/>
      <w:lvlText w:val="%1."/>
      <w:lvlJc w:val="left"/>
      <w:pPr>
        <w:ind w:left="360" w:hanging="360"/>
      </w:pPr>
      <w:rPr>
        <w:rFonts w:hint="default"/>
      </w:rPr>
    </w:lvl>
    <w:lvl w:ilvl="1">
      <w:start w:val="1"/>
      <w:numFmt w:val="decimal"/>
      <w:lvlText w:val="%1.%2."/>
      <w:lvlJc w:val="left"/>
      <w:pPr>
        <w:ind w:left="716"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A8"/>
    <w:rsid w:val="00035886"/>
    <w:rsid w:val="000625D1"/>
    <w:rsid w:val="000F5F34"/>
    <w:rsid w:val="001708BE"/>
    <w:rsid w:val="004F0A99"/>
    <w:rsid w:val="00520364"/>
    <w:rsid w:val="00555F51"/>
    <w:rsid w:val="005E45AB"/>
    <w:rsid w:val="00601DA8"/>
    <w:rsid w:val="006330A5"/>
    <w:rsid w:val="006373B0"/>
    <w:rsid w:val="006B56A5"/>
    <w:rsid w:val="00747F52"/>
    <w:rsid w:val="008F0C50"/>
    <w:rsid w:val="00A10DDF"/>
    <w:rsid w:val="00C728DD"/>
    <w:rsid w:val="00C7728C"/>
    <w:rsid w:val="00DE41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BB0D9-C439-4428-9894-6EAA8C37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DA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364"/>
    <w:pPr>
      <w:ind w:left="720"/>
      <w:contextualSpacing/>
    </w:pPr>
  </w:style>
  <w:style w:type="character" w:styleId="Hyperlink">
    <w:name w:val="Hyperlink"/>
    <w:basedOn w:val="DefaultParagraphFont"/>
    <w:uiPriority w:val="99"/>
    <w:unhideWhenUsed/>
    <w:rsid w:val="005E4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intars@sigulda.lv" TargetMode="External"/><Relationship Id="rId3" Type="http://schemas.openxmlformats.org/officeDocument/2006/relationships/settings" Target="settings.xml"/><Relationship Id="rId7" Type="http://schemas.openxmlformats.org/officeDocument/2006/relationships/hyperlink" Target="mailto:rekini@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5" Type="http://schemas.openxmlformats.org/officeDocument/2006/relationships/hyperlink" Target="mailto:rekini@sigulda.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4859</Words>
  <Characters>2771</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14</cp:revision>
  <dcterms:created xsi:type="dcterms:W3CDTF">2016-05-01T19:37:00Z</dcterms:created>
  <dcterms:modified xsi:type="dcterms:W3CDTF">2016-05-02T13:01:00Z</dcterms:modified>
</cp:coreProperties>
</file>